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Arial" w:hAnsi="Arial" w:cs="Arial"/>
        </w:rPr>
      </w:pPr>
      <w:bookmarkStart w:id="0" w:name="_Toc10679"/>
    </w:p>
    <w:p>
      <w:pPr>
        <w:pStyle w:val="2"/>
        <w:jc w:val="center"/>
        <w:rPr>
          <w:rFonts w:ascii="Arial" w:hAnsi="Arial" w:cs="Arial"/>
        </w:rPr>
      </w:pPr>
    </w:p>
    <w:p>
      <w:pPr>
        <w:pStyle w:val="2"/>
        <w:jc w:val="center"/>
        <w:rPr>
          <w:rFonts w:ascii="Arial" w:hAnsi="Arial" w:cs="Arial"/>
        </w:rPr>
      </w:pPr>
    </w:p>
    <w:p>
      <w:pPr>
        <w:pStyle w:val="2"/>
        <w:jc w:val="center"/>
        <w:rPr>
          <w:rFonts w:ascii="Arial" w:hAnsi="Arial" w:cs="Arial"/>
        </w:rPr>
      </w:pPr>
    </w:p>
    <w:bookmarkEnd w:id="0"/>
    <w:p>
      <w:pPr>
        <w:pStyle w:val="2"/>
        <w:jc w:val="center"/>
        <w:rPr>
          <w:rFonts w:ascii="Arial" w:hAnsi="Arial" w:cs="Arial"/>
        </w:rPr>
      </w:pPr>
      <w:bookmarkStart w:id="1" w:name="_Toc147938252"/>
      <w:bookmarkStart w:id="2" w:name="_Toc6068"/>
      <w:r>
        <w:rPr>
          <w:rFonts w:ascii="Arial" w:hAnsi="Arial" w:cs="Arial"/>
        </w:rPr>
        <w:t>Ganfeng Lithium Group Co., Ltd.</w:t>
      </w:r>
      <w:bookmarkEnd w:id="1"/>
    </w:p>
    <w:p>
      <w:pPr>
        <w:pStyle w:val="2"/>
        <w:jc w:val="center"/>
        <w:rPr>
          <w:rFonts w:ascii="Arial" w:hAnsi="Arial" w:cs="Arial"/>
        </w:rPr>
      </w:pPr>
      <w:bookmarkStart w:id="3" w:name="_Toc147938253"/>
      <w:r>
        <w:rPr>
          <w:rFonts w:ascii="Arial" w:hAnsi="Arial" w:cs="Arial"/>
        </w:rPr>
        <w:t>Supply Chain Due Diligence Report</w:t>
      </w:r>
      <w:bookmarkEnd w:id="2"/>
      <w:bookmarkEnd w:id="3"/>
    </w:p>
    <w:p>
      <w:pPr>
        <w:jc w:val="center"/>
        <w:rPr>
          <w:rFonts w:ascii="Arial" w:hAnsi="Arial" w:cs="Arial"/>
          <w:b/>
          <w:kern w:val="44"/>
          <w:sz w:val="44"/>
        </w:rPr>
      </w:pPr>
      <w:r>
        <w:rPr>
          <w:rFonts w:ascii="Arial" w:hAnsi="Arial" w:cs="Arial"/>
          <w:b/>
          <w:kern w:val="44"/>
          <w:sz w:val="44"/>
        </w:rPr>
        <w:t>(2022)</w:t>
      </w:r>
    </w:p>
    <w:p>
      <w:pPr>
        <w:rPr>
          <w:rFonts w:ascii="Arial" w:hAnsi="Arial" w:cs="Arial"/>
        </w:rPr>
      </w:pPr>
    </w:p>
    <w:p>
      <w:pPr>
        <w:pStyle w:val="3"/>
        <w:ind w:firstLine="643" w:firstLineChars="200"/>
        <w:jc w:val="right"/>
        <w:rPr>
          <w:rFonts w:cs="Arial"/>
        </w:rPr>
      </w:pPr>
      <w:bookmarkStart w:id="4" w:name="_Toc17603"/>
    </w:p>
    <w:p>
      <w:pPr>
        <w:pStyle w:val="3"/>
        <w:ind w:firstLine="643" w:firstLineChars="200"/>
        <w:jc w:val="right"/>
        <w:rPr>
          <w:rFonts w:cs="Arial"/>
        </w:rPr>
      </w:pPr>
    </w:p>
    <w:p>
      <w:pPr>
        <w:pStyle w:val="3"/>
        <w:ind w:firstLine="643" w:firstLineChars="200"/>
        <w:jc w:val="right"/>
        <w:rPr>
          <w:rFonts w:cs="Arial"/>
        </w:rPr>
      </w:pPr>
    </w:p>
    <w:bookmarkEnd w:id="4"/>
    <w:p>
      <w:pPr>
        <w:pStyle w:val="3"/>
        <w:ind w:firstLine="643" w:firstLineChars="200"/>
        <w:jc w:val="right"/>
        <w:rPr>
          <w:rFonts w:cs="Arial"/>
        </w:rPr>
      </w:pPr>
    </w:p>
    <w:p>
      <w:pPr>
        <w:ind w:firstLine="420" w:firstLineChars="200"/>
        <w:rPr>
          <w:rFonts w:ascii="Arial" w:hAnsi="Arial" w:cs="Arial"/>
        </w:rPr>
      </w:pPr>
      <w:r>
        <w:rPr>
          <w:rFonts w:ascii="Arial" w:hAnsi="Arial" w:cs="Arial"/>
        </w:rPr>
        <w:br w:type="page"/>
      </w:r>
    </w:p>
    <w:sdt>
      <w:sdtPr>
        <w:rPr>
          <w:rFonts w:cs="Arial" w:asciiTheme="minorHAnsi" w:hAnsiTheme="minorHAnsi" w:eastAsiaTheme="minorEastAsia"/>
          <w:b w:val="0"/>
          <w:sz w:val="21"/>
        </w:rPr>
        <w:id w:val="147452759"/>
        <w15:color w:val="DBDBDB"/>
        <w:docPartObj>
          <w:docPartGallery w:val="Table of Contents"/>
          <w:docPartUnique/>
        </w:docPartObj>
      </w:sdtPr>
      <w:sdtEndPr>
        <w:rPr>
          <w:rFonts w:cs="Arial" w:asciiTheme="minorHAnsi" w:hAnsiTheme="minorHAnsi" w:eastAsiaTheme="minorEastAsia"/>
          <w:b w:val="0"/>
          <w:sz w:val="21"/>
        </w:rPr>
      </w:sdtEndPr>
      <w:sdtContent>
        <w:p>
          <w:pPr>
            <w:pStyle w:val="3"/>
            <w:jc w:val="center"/>
            <w:rPr>
              <w:rFonts w:cs="Arial"/>
            </w:rPr>
          </w:pPr>
          <w:bookmarkStart w:id="5" w:name="_Toc147938254"/>
          <w:bookmarkEnd w:id="5"/>
          <w:r>
            <w:rPr>
              <w:rFonts w:hint="eastAsia" w:cs="Arial"/>
            </w:rPr>
            <w:t>Table</w:t>
          </w:r>
          <w:r>
            <w:rPr>
              <w:rFonts w:cs="Arial"/>
            </w:rPr>
            <w:t xml:space="preserve"> of Content</w:t>
          </w:r>
          <w:r>
            <w:rPr>
              <w:rFonts w:cs="Arial"/>
            </w:rPr>
            <w:fldChar w:fldCharType="begin"/>
          </w:r>
          <w:r>
            <w:rPr>
              <w:rFonts w:cs="Arial"/>
            </w:rPr>
            <w:instrText xml:space="preserve">TOC \o "1-3" \h \u </w:instrText>
          </w:r>
          <w:r>
            <w:rPr>
              <w:rFonts w:cs="Arial"/>
            </w:rPr>
            <w:fldChar w:fldCharType="separate"/>
          </w:r>
        </w:p>
        <w:p>
          <w:pPr>
            <w:pStyle w:val="5"/>
            <w:tabs>
              <w:tab w:val="right" w:leader="dot" w:pos="8296"/>
            </w:tabs>
            <w:rPr>
              <w:rFonts w:ascii="Arial" w:hAnsi="Arial" w:cs="Arial"/>
              <w:sz w:val="28"/>
              <w:szCs w:val="32"/>
              <w:lang w:val="en-US"/>
              <w14:ligatures w14:val="standardContextual"/>
            </w:rPr>
          </w:pPr>
          <w:r>
            <w:fldChar w:fldCharType="begin"/>
          </w:r>
          <w:r>
            <w:instrText xml:space="preserve"> HYPERLINK \l "_Toc147938255" </w:instrText>
          </w:r>
          <w:r>
            <w:fldChar w:fldCharType="separate"/>
          </w:r>
          <w:r>
            <w:rPr>
              <w:rStyle w:val="14"/>
              <w:rFonts w:ascii="Arial" w:hAnsi="Arial" w:cs="Arial"/>
              <w:sz w:val="28"/>
              <w:szCs w:val="36"/>
            </w:rPr>
            <w:t>1 Company Profile</w:t>
          </w:r>
          <w:r>
            <w:rPr>
              <w:rFonts w:ascii="Arial" w:hAnsi="Arial" w:cs="Arial"/>
              <w:sz w:val="28"/>
              <w:szCs w:val="36"/>
            </w:rPr>
            <w:tab/>
          </w:r>
          <w:r>
            <w:rPr>
              <w:rFonts w:ascii="Arial" w:hAnsi="Arial" w:cs="Arial"/>
              <w:sz w:val="28"/>
              <w:szCs w:val="36"/>
            </w:rPr>
            <w:fldChar w:fldCharType="begin"/>
          </w:r>
          <w:r>
            <w:rPr>
              <w:rFonts w:ascii="Arial" w:hAnsi="Arial" w:cs="Arial"/>
              <w:sz w:val="28"/>
              <w:szCs w:val="36"/>
            </w:rPr>
            <w:instrText xml:space="preserve"> PAGEREF _Toc147938255 \h </w:instrText>
          </w:r>
          <w:r>
            <w:rPr>
              <w:rFonts w:ascii="Arial" w:hAnsi="Arial" w:cs="Arial"/>
              <w:sz w:val="28"/>
              <w:szCs w:val="36"/>
            </w:rPr>
            <w:fldChar w:fldCharType="separate"/>
          </w:r>
          <w:r>
            <w:rPr>
              <w:rFonts w:ascii="Arial" w:hAnsi="Arial" w:cs="Arial"/>
              <w:sz w:val="28"/>
              <w:szCs w:val="36"/>
            </w:rPr>
            <w:t>3</w:t>
          </w:r>
          <w:r>
            <w:rPr>
              <w:rFonts w:ascii="Arial" w:hAnsi="Arial" w:cs="Arial"/>
              <w:sz w:val="28"/>
              <w:szCs w:val="36"/>
            </w:rPr>
            <w:fldChar w:fldCharType="end"/>
          </w:r>
          <w:r>
            <w:rPr>
              <w:rFonts w:ascii="Arial" w:hAnsi="Arial" w:cs="Arial"/>
              <w:sz w:val="28"/>
              <w:szCs w:val="36"/>
            </w:rPr>
            <w:fldChar w:fldCharType="end"/>
          </w:r>
        </w:p>
        <w:p>
          <w:pPr>
            <w:pStyle w:val="5"/>
            <w:tabs>
              <w:tab w:val="right" w:leader="dot" w:pos="8296"/>
            </w:tabs>
            <w:rPr>
              <w:rFonts w:ascii="Arial" w:hAnsi="Arial" w:cs="Arial"/>
              <w:sz w:val="28"/>
              <w:szCs w:val="32"/>
              <w:lang w:val="en-US"/>
              <w14:ligatures w14:val="standardContextual"/>
            </w:rPr>
          </w:pPr>
          <w:r>
            <w:fldChar w:fldCharType="begin"/>
          </w:r>
          <w:r>
            <w:instrText xml:space="preserve"> HYPERLINK \l "_Toc147938256" </w:instrText>
          </w:r>
          <w:r>
            <w:fldChar w:fldCharType="separate"/>
          </w:r>
          <w:r>
            <w:rPr>
              <w:rStyle w:val="14"/>
              <w:rFonts w:ascii="Arial" w:hAnsi="Arial" w:cs="Arial"/>
              <w:sz w:val="28"/>
              <w:szCs w:val="36"/>
            </w:rPr>
            <w:t xml:space="preserve">2 Responsible Minerals </w:t>
          </w:r>
          <w:r>
            <w:rPr>
              <w:rStyle w:val="14"/>
              <w:rFonts w:ascii="Arial" w:hAnsi="Arial" w:cs="Arial"/>
              <w:sz w:val="28"/>
              <w:szCs w:val="36"/>
              <w:lang w:val="en-US"/>
            </w:rPr>
            <w:t xml:space="preserve">Supply </w:t>
          </w:r>
          <w:r>
            <w:rPr>
              <w:rStyle w:val="14"/>
              <w:rFonts w:ascii="Arial" w:hAnsi="Arial" w:cs="Arial"/>
              <w:sz w:val="28"/>
              <w:szCs w:val="36"/>
            </w:rPr>
            <w:t>Chain Policy (all sources)</w:t>
          </w:r>
          <w:r>
            <w:rPr>
              <w:rFonts w:ascii="Arial" w:hAnsi="Arial" w:cs="Arial"/>
              <w:sz w:val="28"/>
              <w:szCs w:val="36"/>
            </w:rPr>
            <w:tab/>
          </w:r>
          <w:r>
            <w:rPr>
              <w:rFonts w:ascii="Arial" w:hAnsi="Arial" w:cs="Arial"/>
              <w:sz w:val="28"/>
              <w:szCs w:val="36"/>
            </w:rPr>
            <w:fldChar w:fldCharType="begin"/>
          </w:r>
          <w:r>
            <w:rPr>
              <w:rFonts w:ascii="Arial" w:hAnsi="Arial" w:cs="Arial"/>
              <w:sz w:val="28"/>
              <w:szCs w:val="36"/>
            </w:rPr>
            <w:instrText xml:space="preserve"> PAGEREF _Toc147938256 \h </w:instrText>
          </w:r>
          <w:r>
            <w:rPr>
              <w:rFonts w:ascii="Arial" w:hAnsi="Arial" w:cs="Arial"/>
              <w:sz w:val="28"/>
              <w:szCs w:val="36"/>
            </w:rPr>
            <w:fldChar w:fldCharType="separate"/>
          </w:r>
          <w:r>
            <w:rPr>
              <w:rFonts w:ascii="Arial" w:hAnsi="Arial" w:cs="Arial"/>
              <w:sz w:val="28"/>
              <w:szCs w:val="36"/>
            </w:rPr>
            <w:t>4</w:t>
          </w:r>
          <w:r>
            <w:rPr>
              <w:rFonts w:ascii="Arial" w:hAnsi="Arial" w:cs="Arial"/>
              <w:sz w:val="28"/>
              <w:szCs w:val="36"/>
            </w:rPr>
            <w:fldChar w:fldCharType="end"/>
          </w:r>
          <w:r>
            <w:rPr>
              <w:rFonts w:ascii="Arial" w:hAnsi="Arial" w:cs="Arial"/>
              <w:sz w:val="28"/>
              <w:szCs w:val="36"/>
            </w:rPr>
            <w:fldChar w:fldCharType="end"/>
          </w:r>
        </w:p>
        <w:p>
          <w:pPr>
            <w:pStyle w:val="5"/>
            <w:tabs>
              <w:tab w:val="right" w:leader="dot" w:pos="8296"/>
            </w:tabs>
            <w:rPr>
              <w:rFonts w:ascii="Arial" w:hAnsi="Arial" w:cs="Arial"/>
              <w:sz w:val="28"/>
              <w:szCs w:val="32"/>
              <w:lang w:val="en-US"/>
              <w14:ligatures w14:val="standardContextual"/>
            </w:rPr>
          </w:pPr>
          <w:r>
            <w:fldChar w:fldCharType="begin"/>
          </w:r>
          <w:r>
            <w:instrText xml:space="preserve"> HYPERLINK \l "_Toc147938257" </w:instrText>
          </w:r>
          <w:r>
            <w:fldChar w:fldCharType="separate"/>
          </w:r>
          <w:r>
            <w:rPr>
              <w:rStyle w:val="14"/>
              <w:rFonts w:ascii="Arial" w:hAnsi="Arial" w:cs="Arial"/>
              <w:sz w:val="28"/>
              <w:szCs w:val="36"/>
            </w:rPr>
            <w:t>3 Company Management System (all sources)</w:t>
          </w:r>
          <w:r>
            <w:rPr>
              <w:rFonts w:ascii="Arial" w:hAnsi="Arial" w:cs="Arial"/>
              <w:sz w:val="28"/>
              <w:szCs w:val="36"/>
            </w:rPr>
            <w:tab/>
          </w:r>
          <w:r>
            <w:rPr>
              <w:rFonts w:ascii="Arial" w:hAnsi="Arial" w:cs="Arial"/>
              <w:sz w:val="28"/>
              <w:szCs w:val="36"/>
            </w:rPr>
            <w:fldChar w:fldCharType="begin"/>
          </w:r>
          <w:r>
            <w:rPr>
              <w:rFonts w:ascii="Arial" w:hAnsi="Arial" w:cs="Arial"/>
              <w:sz w:val="28"/>
              <w:szCs w:val="36"/>
            </w:rPr>
            <w:instrText xml:space="preserve"> PAGEREF _Toc147938257 \h </w:instrText>
          </w:r>
          <w:r>
            <w:rPr>
              <w:rFonts w:ascii="Arial" w:hAnsi="Arial" w:cs="Arial"/>
              <w:sz w:val="28"/>
              <w:szCs w:val="36"/>
            </w:rPr>
            <w:fldChar w:fldCharType="separate"/>
          </w:r>
          <w:r>
            <w:rPr>
              <w:rFonts w:ascii="Arial" w:hAnsi="Arial" w:cs="Arial"/>
              <w:sz w:val="28"/>
              <w:szCs w:val="36"/>
            </w:rPr>
            <w:t>4</w:t>
          </w:r>
          <w:r>
            <w:rPr>
              <w:rFonts w:ascii="Arial" w:hAnsi="Arial" w:cs="Arial"/>
              <w:sz w:val="28"/>
              <w:szCs w:val="36"/>
            </w:rPr>
            <w:fldChar w:fldCharType="end"/>
          </w:r>
          <w:r>
            <w:rPr>
              <w:rFonts w:ascii="Arial" w:hAnsi="Arial" w:cs="Arial"/>
              <w:sz w:val="28"/>
              <w:szCs w:val="36"/>
            </w:rPr>
            <w:fldChar w:fldCharType="end"/>
          </w:r>
        </w:p>
        <w:p>
          <w:pPr>
            <w:pStyle w:val="5"/>
            <w:tabs>
              <w:tab w:val="right" w:leader="dot" w:pos="8296"/>
            </w:tabs>
            <w:rPr>
              <w:rFonts w:ascii="Arial" w:hAnsi="Arial" w:cs="Arial"/>
              <w:sz w:val="28"/>
              <w:szCs w:val="32"/>
              <w:lang w:val="en-US"/>
              <w14:ligatures w14:val="standardContextual"/>
            </w:rPr>
          </w:pPr>
          <w:r>
            <w:fldChar w:fldCharType="begin"/>
          </w:r>
          <w:r>
            <w:instrText xml:space="preserve"> HYPERLINK \l "_Toc147938258" </w:instrText>
          </w:r>
          <w:r>
            <w:fldChar w:fldCharType="separate"/>
          </w:r>
          <w:r>
            <w:rPr>
              <w:rStyle w:val="14"/>
              <w:rFonts w:ascii="Arial" w:hAnsi="Arial" w:cs="Arial"/>
              <w:sz w:val="28"/>
              <w:szCs w:val="36"/>
            </w:rPr>
            <w:t>4 Risk identification (all sources)</w:t>
          </w:r>
          <w:r>
            <w:rPr>
              <w:rFonts w:ascii="Arial" w:hAnsi="Arial" w:cs="Arial"/>
              <w:sz w:val="28"/>
              <w:szCs w:val="36"/>
            </w:rPr>
            <w:tab/>
          </w:r>
          <w:r>
            <w:rPr>
              <w:rFonts w:ascii="Arial" w:hAnsi="Arial" w:cs="Arial"/>
              <w:sz w:val="28"/>
              <w:szCs w:val="36"/>
            </w:rPr>
            <w:fldChar w:fldCharType="begin"/>
          </w:r>
          <w:r>
            <w:rPr>
              <w:rFonts w:ascii="Arial" w:hAnsi="Arial" w:cs="Arial"/>
              <w:sz w:val="28"/>
              <w:szCs w:val="36"/>
            </w:rPr>
            <w:instrText xml:space="preserve"> PAGEREF _Toc147938258 \h </w:instrText>
          </w:r>
          <w:r>
            <w:rPr>
              <w:rFonts w:ascii="Arial" w:hAnsi="Arial" w:cs="Arial"/>
              <w:sz w:val="28"/>
              <w:szCs w:val="36"/>
            </w:rPr>
            <w:fldChar w:fldCharType="separate"/>
          </w:r>
          <w:r>
            <w:rPr>
              <w:rFonts w:ascii="Arial" w:hAnsi="Arial" w:cs="Arial"/>
              <w:sz w:val="28"/>
              <w:szCs w:val="36"/>
            </w:rPr>
            <w:t>7</w:t>
          </w:r>
          <w:r>
            <w:rPr>
              <w:rFonts w:ascii="Arial" w:hAnsi="Arial" w:cs="Arial"/>
              <w:sz w:val="28"/>
              <w:szCs w:val="36"/>
            </w:rPr>
            <w:fldChar w:fldCharType="end"/>
          </w:r>
          <w:r>
            <w:rPr>
              <w:rFonts w:ascii="Arial" w:hAnsi="Arial" w:cs="Arial"/>
              <w:sz w:val="28"/>
              <w:szCs w:val="36"/>
            </w:rPr>
            <w:fldChar w:fldCharType="end"/>
          </w:r>
        </w:p>
        <w:p>
          <w:pPr>
            <w:pStyle w:val="5"/>
            <w:tabs>
              <w:tab w:val="right" w:leader="dot" w:pos="8296"/>
            </w:tabs>
            <w:rPr>
              <w:rFonts w:ascii="Arial" w:hAnsi="Arial" w:cs="Arial"/>
              <w:sz w:val="28"/>
              <w:szCs w:val="32"/>
              <w:lang w:val="en-US"/>
              <w14:ligatures w14:val="standardContextual"/>
            </w:rPr>
          </w:pPr>
          <w:r>
            <w:fldChar w:fldCharType="begin"/>
          </w:r>
          <w:r>
            <w:instrText xml:space="preserve"> HYPERLINK \l "_Toc147938259" </w:instrText>
          </w:r>
          <w:r>
            <w:fldChar w:fldCharType="separate"/>
          </w:r>
          <w:r>
            <w:rPr>
              <w:rStyle w:val="14"/>
              <w:rFonts w:ascii="Arial" w:hAnsi="Arial" w:cs="Arial"/>
              <w:sz w:val="28"/>
              <w:szCs w:val="36"/>
            </w:rPr>
            <w:t>5 Risk Assessment (High Risk Procurement Only)</w:t>
          </w:r>
          <w:r>
            <w:rPr>
              <w:rFonts w:ascii="Arial" w:hAnsi="Arial" w:cs="Arial"/>
              <w:sz w:val="28"/>
              <w:szCs w:val="36"/>
            </w:rPr>
            <w:tab/>
          </w:r>
          <w:r>
            <w:rPr>
              <w:rFonts w:ascii="Arial" w:hAnsi="Arial" w:cs="Arial"/>
              <w:sz w:val="28"/>
              <w:szCs w:val="36"/>
            </w:rPr>
            <w:fldChar w:fldCharType="begin"/>
          </w:r>
          <w:r>
            <w:rPr>
              <w:rFonts w:ascii="Arial" w:hAnsi="Arial" w:cs="Arial"/>
              <w:sz w:val="28"/>
              <w:szCs w:val="36"/>
            </w:rPr>
            <w:instrText xml:space="preserve"> PAGEREF _Toc147938259 \h </w:instrText>
          </w:r>
          <w:r>
            <w:rPr>
              <w:rFonts w:ascii="Arial" w:hAnsi="Arial" w:cs="Arial"/>
              <w:sz w:val="28"/>
              <w:szCs w:val="36"/>
            </w:rPr>
            <w:fldChar w:fldCharType="separate"/>
          </w:r>
          <w:r>
            <w:rPr>
              <w:rFonts w:ascii="Arial" w:hAnsi="Arial" w:cs="Arial"/>
              <w:sz w:val="28"/>
              <w:szCs w:val="36"/>
            </w:rPr>
            <w:t>8</w:t>
          </w:r>
          <w:r>
            <w:rPr>
              <w:rFonts w:ascii="Arial" w:hAnsi="Arial" w:cs="Arial"/>
              <w:sz w:val="28"/>
              <w:szCs w:val="36"/>
            </w:rPr>
            <w:fldChar w:fldCharType="end"/>
          </w:r>
          <w:r>
            <w:rPr>
              <w:rFonts w:ascii="Arial" w:hAnsi="Arial" w:cs="Arial"/>
              <w:sz w:val="28"/>
              <w:szCs w:val="36"/>
            </w:rPr>
            <w:fldChar w:fldCharType="end"/>
          </w:r>
        </w:p>
        <w:p>
          <w:pPr>
            <w:pStyle w:val="5"/>
            <w:tabs>
              <w:tab w:val="right" w:leader="dot" w:pos="8296"/>
            </w:tabs>
            <w:rPr>
              <w:rFonts w:ascii="Arial" w:hAnsi="Arial" w:cs="Arial"/>
              <w:sz w:val="28"/>
              <w:szCs w:val="32"/>
              <w:lang w:val="en-US"/>
              <w14:ligatures w14:val="standardContextual"/>
            </w:rPr>
          </w:pPr>
          <w:r>
            <w:fldChar w:fldCharType="begin"/>
          </w:r>
          <w:r>
            <w:instrText xml:space="preserve"> HYPERLINK \l "_Toc147938260" </w:instrText>
          </w:r>
          <w:r>
            <w:fldChar w:fldCharType="separate"/>
          </w:r>
          <w:r>
            <w:rPr>
              <w:rStyle w:val="14"/>
              <w:rFonts w:ascii="Arial" w:hAnsi="Arial" w:cs="Arial"/>
              <w:sz w:val="28"/>
              <w:szCs w:val="36"/>
            </w:rPr>
            <w:t>6 Develop and implement response policies for identified risks</w:t>
          </w:r>
          <w:r>
            <w:rPr>
              <w:rFonts w:ascii="Arial" w:hAnsi="Arial" w:cs="Arial"/>
              <w:sz w:val="28"/>
              <w:szCs w:val="36"/>
            </w:rPr>
            <w:tab/>
          </w:r>
          <w:r>
            <w:rPr>
              <w:rFonts w:ascii="Arial" w:hAnsi="Arial" w:cs="Arial"/>
              <w:sz w:val="28"/>
              <w:szCs w:val="36"/>
            </w:rPr>
            <w:fldChar w:fldCharType="begin"/>
          </w:r>
          <w:r>
            <w:rPr>
              <w:rFonts w:ascii="Arial" w:hAnsi="Arial" w:cs="Arial"/>
              <w:sz w:val="28"/>
              <w:szCs w:val="36"/>
            </w:rPr>
            <w:instrText xml:space="preserve"> PAGEREF _Toc147938260 \h </w:instrText>
          </w:r>
          <w:r>
            <w:rPr>
              <w:rFonts w:ascii="Arial" w:hAnsi="Arial" w:cs="Arial"/>
              <w:sz w:val="28"/>
              <w:szCs w:val="36"/>
            </w:rPr>
            <w:fldChar w:fldCharType="separate"/>
          </w:r>
          <w:r>
            <w:rPr>
              <w:rFonts w:ascii="Arial" w:hAnsi="Arial" w:cs="Arial"/>
              <w:sz w:val="28"/>
              <w:szCs w:val="36"/>
            </w:rPr>
            <w:t>9</w:t>
          </w:r>
          <w:r>
            <w:rPr>
              <w:rFonts w:ascii="Arial" w:hAnsi="Arial" w:cs="Arial"/>
              <w:sz w:val="28"/>
              <w:szCs w:val="36"/>
            </w:rPr>
            <w:fldChar w:fldCharType="end"/>
          </w:r>
          <w:r>
            <w:rPr>
              <w:rFonts w:ascii="Arial" w:hAnsi="Arial" w:cs="Arial"/>
              <w:sz w:val="28"/>
              <w:szCs w:val="36"/>
            </w:rPr>
            <w:fldChar w:fldCharType="end"/>
          </w:r>
        </w:p>
        <w:p>
          <w:pPr>
            <w:pStyle w:val="5"/>
            <w:tabs>
              <w:tab w:val="right" w:leader="dot" w:pos="8296"/>
            </w:tabs>
            <w:rPr>
              <w:rFonts w:ascii="Arial" w:hAnsi="Arial" w:cs="Arial"/>
              <w:sz w:val="28"/>
              <w:szCs w:val="32"/>
              <w:lang w:val="en-US"/>
              <w14:ligatures w14:val="standardContextual"/>
            </w:rPr>
          </w:pPr>
          <w:r>
            <w:fldChar w:fldCharType="begin"/>
          </w:r>
          <w:r>
            <w:instrText xml:space="preserve"> HYPERLINK \l "_Toc147938261" </w:instrText>
          </w:r>
          <w:r>
            <w:fldChar w:fldCharType="separate"/>
          </w:r>
          <w:r>
            <w:rPr>
              <w:rStyle w:val="14"/>
              <w:rFonts w:ascii="Arial" w:hAnsi="Arial" w:cs="Arial"/>
              <w:sz w:val="28"/>
              <w:szCs w:val="36"/>
            </w:rPr>
            <w:t xml:space="preserve">7 </w:t>
          </w:r>
          <w:r>
            <w:rPr>
              <w:rStyle w:val="14"/>
              <w:rFonts w:hint="eastAsia" w:ascii="Arial" w:hAnsi="Arial" w:cs="Arial"/>
              <w:sz w:val="28"/>
              <w:szCs w:val="36"/>
              <w:lang w:val="en-US" w:eastAsia="zh-CN"/>
            </w:rPr>
            <w:t>R</w:t>
          </w:r>
          <w:r>
            <w:rPr>
              <w:rStyle w:val="14"/>
              <w:rFonts w:ascii="Arial" w:hAnsi="Arial" w:cs="Arial"/>
              <w:sz w:val="28"/>
              <w:szCs w:val="36"/>
            </w:rPr>
            <w:t>isk mitigation</w:t>
          </w:r>
          <w:r>
            <w:rPr>
              <w:rFonts w:ascii="Arial" w:hAnsi="Arial" w:cs="Arial"/>
              <w:sz w:val="28"/>
              <w:szCs w:val="36"/>
            </w:rPr>
            <w:tab/>
          </w:r>
          <w:r>
            <w:rPr>
              <w:rFonts w:ascii="Arial" w:hAnsi="Arial" w:cs="Arial"/>
              <w:sz w:val="28"/>
              <w:szCs w:val="36"/>
            </w:rPr>
            <w:fldChar w:fldCharType="begin"/>
          </w:r>
          <w:r>
            <w:rPr>
              <w:rFonts w:ascii="Arial" w:hAnsi="Arial" w:cs="Arial"/>
              <w:sz w:val="28"/>
              <w:szCs w:val="36"/>
            </w:rPr>
            <w:instrText xml:space="preserve"> PAGEREF _Toc147938261 \h </w:instrText>
          </w:r>
          <w:r>
            <w:rPr>
              <w:rFonts w:ascii="Arial" w:hAnsi="Arial" w:cs="Arial"/>
              <w:sz w:val="28"/>
              <w:szCs w:val="36"/>
            </w:rPr>
            <w:fldChar w:fldCharType="separate"/>
          </w:r>
          <w:r>
            <w:rPr>
              <w:rFonts w:ascii="Arial" w:hAnsi="Arial" w:cs="Arial"/>
              <w:sz w:val="28"/>
              <w:szCs w:val="36"/>
            </w:rPr>
            <w:t>9</w:t>
          </w:r>
          <w:r>
            <w:rPr>
              <w:rFonts w:ascii="Arial" w:hAnsi="Arial" w:cs="Arial"/>
              <w:sz w:val="28"/>
              <w:szCs w:val="36"/>
            </w:rPr>
            <w:fldChar w:fldCharType="end"/>
          </w:r>
          <w:r>
            <w:rPr>
              <w:rFonts w:ascii="Arial" w:hAnsi="Arial" w:cs="Arial"/>
              <w:sz w:val="28"/>
              <w:szCs w:val="36"/>
            </w:rPr>
            <w:fldChar w:fldCharType="end"/>
          </w:r>
        </w:p>
        <w:p>
          <w:pPr>
            <w:pStyle w:val="5"/>
            <w:tabs>
              <w:tab w:val="right" w:leader="dot" w:pos="8296"/>
            </w:tabs>
            <w:rPr>
              <w:rFonts w:ascii="Arial" w:hAnsi="Arial" w:cs="Arial"/>
              <w:sz w:val="28"/>
              <w:szCs w:val="32"/>
              <w:lang w:val="en-US"/>
              <w14:ligatures w14:val="standardContextual"/>
            </w:rPr>
          </w:pPr>
          <w:r>
            <w:fldChar w:fldCharType="begin"/>
          </w:r>
          <w:r>
            <w:instrText xml:space="preserve"> HYPERLINK \l "_Toc147938262" </w:instrText>
          </w:r>
          <w:r>
            <w:fldChar w:fldCharType="separate"/>
          </w:r>
          <w:r>
            <w:rPr>
              <w:rStyle w:val="14"/>
              <w:rFonts w:ascii="Arial" w:hAnsi="Arial" w:cs="Arial"/>
              <w:sz w:val="28"/>
              <w:szCs w:val="36"/>
            </w:rPr>
            <w:t>8 Independent third-party evaluation and audit</w:t>
          </w:r>
          <w:r>
            <w:rPr>
              <w:rFonts w:ascii="Arial" w:hAnsi="Arial" w:cs="Arial"/>
              <w:sz w:val="28"/>
              <w:szCs w:val="36"/>
            </w:rPr>
            <w:tab/>
          </w:r>
          <w:r>
            <w:rPr>
              <w:rFonts w:ascii="Arial" w:hAnsi="Arial" w:cs="Arial"/>
              <w:sz w:val="28"/>
              <w:szCs w:val="36"/>
            </w:rPr>
            <w:fldChar w:fldCharType="begin"/>
          </w:r>
          <w:r>
            <w:rPr>
              <w:rFonts w:ascii="Arial" w:hAnsi="Arial" w:cs="Arial"/>
              <w:sz w:val="28"/>
              <w:szCs w:val="36"/>
            </w:rPr>
            <w:instrText xml:space="preserve"> PAGEREF _Toc147938262 \h </w:instrText>
          </w:r>
          <w:r>
            <w:rPr>
              <w:rFonts w:ascii="Arial" w:hAnsi="Arial" w:cs="Arial"/>
              <w:sz w:val="28"/>
              <w:szCs w:val="36"/>
            </w:rPr>
            <w:fldChar w:fldCharType="separate"/>
          </w:r>
          <w:r>
            <w:rPr>
              <w:rFonts w:ascii="Arial" w:hAnsi="Arial" w:cs="Arial"/>
              <w:sz w:val="28"/>
              <w:szCs w:val="36"/>
            </w:rPr>
            <w:t>10</w:t>
          </w:r>
          <w:r>
            <w:rPr>
              <w:rFonts w:ascii="Arial" w:hAnsi="Arial" w:cs="Arial"/>
              <w:sz w:val="28"/>
              <w:szCs w:val="36"/>
            </w:rPr>
            <w:fldChar w:fldCharType="end"/>
          </w:r>
          <w:r>
            <w:rPr>
              <w:rFonts w:ascii="Arial" w:hAnsi="Arial" w:cs="Arial"/>
              <w:sz w:val="28"/>
              <w:szCs w:val="36"/>
            </w:rPr>
            <w:fldChar w:fldCharType="end"/>
          </w:r>
        </w:p>
        <w:p>
          <w:pPr>
            <w:ind w:firstLine="420" w:firstLineChars="200"/>
            <w:rPr>
              <w:rFonts w:ascii="Arial" w:hAnsi="Arial" w:cs="Arial"/>
            </w:rPr>
          </w:pPr>
          <w:r>
            <w:rPr>
              <w:rFonts w:ascii="Arial" w:hAnsi="Arial" w:cs="Arial"/>
            </w:rPr>
            <w:fldChar w:fldCharType="end"/>
          </w:r>
        </w:p>
      </w:sdtContent>
    </w:sdt>
    <w:p>
      <w:pPr>
        <w:ind w:firstLine="420" w:firstLineChars="200"/>
        <w:rPr>
          <w:rFonts w:ascii="Arial" w:hAnsi="Arial" w:cs="Arial"/>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Arial" w:hAnsi="Arial" w:cs="Arial"/>
        </w:rPr>
        <w:br w:type="page"/>
      </w:r>
      <w:bookmarkStart w:id="6" w:name="_Toc5423"/>
    </w:p>
    <w:bookmarkEnd w:id="6"/>
    <w:p>
      <w:pPr>
        <w:pStyle w:val="4"/>
        <w:rPr>
          <w:rFonts w:ascii="Arial" w:hAnsi="Arial" w:cs="Arial"/>
        </w:rPr>
      </w:pPr>
      <w:bookmarkStart w:id="7" w:name="_Toc147938255"/>
      <w:r>
        <w:rPr>
          <w:rFonts w:ascii="Arial" w:hAnsi="Arial" w:cs="Arial"/>
        </w:rPr>
        <w:t>1 Company Profile</w:t>
      </w:r>
      <w:bookmarkEnd w:id="7"/>
    </w:p>
    <w:p>
      <w:pPr>
        <w:spacing w:line="480" w:lineRule="exact"/>
        <w:ind w:firstLine="560" w:firstLineChars="200"/>
        <w:rPr>
          <w:rFonts w:ascii="Arial" w:hAnsi="Arial" w:eastAsia="宋体" w:cs="Arial"/>
          <w:sz w:val="28"/>
          <w:szCs w:val="28"/>
        </w:rPr>
      </w:pPr>
      <w:r>
        <w:rPr>
          <w:rFonts w:ascii="Arial" w:hAnsi="Arial" w:eastAsia="宋体" w:cs="Arial"/>
          <w:sz w:val="28"/>
          <w:szCs w:val="28"/>
        </w:rPr>
        <w:t>Ganfeng Lithium Group Co., Ltd. (referred to as "Ganfeng", "Company" or "Group") was established in March 2000. It is the first A+H-share listed company in China's lithium industry (A-share stock code: 002460; H-share stock code: 01772), the world's leading lithium eco-enterprise. The company is the world's largest producer of lithium metal and lithium hydroxide.</w:t>
      </w:r>
    </w:p>
    <w:p>
      <w:pPr>
        <w:spacing w:line="480" w:lineRule="exact"/>
        <w:ind w:firstLine="560" w:firstLineChars="200"/>
        <w:rPr>
          <w:rFonts w:ascii="Arial" w:hAnsi="Arial" w:eastAsia="宋体" w:cs="Arial"/>
          <w:sz w:val="28"/>
          <w:szCs w:val="28"/>
        </w:rPr>
      </w:pPr>
      <w:r>
        <w:rPr>
          <w:rFonts w:hint="eastAsia" w:ascii="Arial" w:hAnsi="Arial" w:eastAsia="宋体" w:cs="Arial"/>
          <w:sz w:val="28"/>
          <w:szCs w:val="28"/>
        </w:rPr>
        <w:t>Ganfeng</w:t>
      </w:r>
      <w:r>
        <w:rPr>
          <w:rFonts w:ascii="Arial" w:hAnsi="Arial" w:eastAsia="宋体" w:cs="Arial"/>
          <w:sz w:val="28"/>
          <w:szCs w:val="28"/>
        </w:rPr>
        <w:t xml:space="preserve"> implements the development strategy of </w:t>
      </w:r>
      <w:bookmarkStart w:id="8" w:name="OLE_LINK2"/>
      <w:r>
        <w:rPr>
          <w:rFonts w:ascii="Arial" w:hAnsi="Arial" w:eastAsia="宋体" w:cs="Arial"/>
          <w:sz w:val="28"/>
          <w:szCs w:val="28"/>
        </w:rPr>
        <w:t>‘upstream t</w:t>
      </w:r>
      <w:r>
        <w:rPr>
          <w:rFonts w:hint="eastAsia" w:ascii="Arial" w:hAnsi="Arial" w:eastAsia="宋体" w:cs="Arial"/>
          <w:sz w:val="28"/>
          <w:szCs w:val="28"/>
        </w:rPr>
        <w:t>o</w:t>
      </w:r>
      <w:r>
        <w:rPr>
          <w:rFonts w:ascii="Arial" w:hAnsi="Arial" w:eastAsia="宋体" w:cs="Arial"/>
          <w:sz w:val="28"/>
          <w:szCs w:val="28"/>
        </w:rPr>
        <w:t xml:space="preserve"> downstream integration</w:t>
      </w:r>
      <w:bookmarkEnd w:id="8"/>
      <w:r>
        <w:rPr>
          <w:rFonts w:ascii="Arial" w:hAnsi="Arial" w:eastAsia="宋体" w:cs="Arial"/>
          <w:sz w:val="28"/>
          <w:szCs w:val="28"/>
        </w:rPr>
        <w:t>’ and has formed five major business sectors: ‘lithium resource development, lithium refinery, lithium metal smelting, lithium battery manufacturing and lithium battery recycling’, with covering more than 40 kinds of products in five series of lithium metal, lithium carbonate, lithium hydroxide, butyllithium and lithium-ion batteries, it is known as the ‘Global Lithium Supermarket’.</w:t>
      </w:r>
    </w:p>
    <w:p>
      <w:pPr>
        <w:spacing w:line="480" w:lineRule="exact"/>
        <w:ind w:firstLine="560" w:firstLineChars="200"/>
        <w:rPr>
          <w:rFonts w:ascii="Arial" w:hAnsi="Arial" w:eastAsia="宋体" w:cs="Arial"/>
          <w:sz w:val="28"/>
          <w:szCs w:val="28"/>
        </w:rPr>
      </w:pPr>
      <w:r>
        <w:rPr>
          <w:rFonts w:hint="eastAsia" w:ascii="Arial" w:hAnsi="Arial" w:eastAsia="宋体" w:cs="Arial"/>
          <w:sz w:val="28"/>
          <w:szCs w:val="28"/>
        </w:rPr>
        <w:t>Ganfeng</w:t>
      </w:r>
      <w:r>
        <w:rPr>
          <w:rFonts w:ascii="Arial" w:hAnsi="Arial" w:eastAsia="宋体" w:cs="Arial"/>
          <w:sz w:val="28"/>
          <w:szCs w:val="28"/>
        </w:rPr>
        <w:t xml:space="preserve"> has </w:t>
      </w:r>
      <w:bookmarkStart w:id="9" w:name="OLE_LINK3"/>
      <w:r>
        <w:rPr>
          <w:rFonts w:ascii="Arial" w:hAnsi="Arial" w:eastAsia="宋体" w:cs="Arial"/>
          <w:sz w:val="28"/>
          <w:szCs w:val="28"/>
        </w:rPr>
        <w:t xml:space="preserve">abundant </w:t>
      </w:r>
      <w:bookmarkEnd w:id="9"/>
      <w:r>
        <w:rPr>
          <w:rFonts w:ascii="Arial" w:hAnsi="Arial" w:eastAsia="宋体" w:cs="Arial"/>
          <w:sz w:val="28"/>
          <w:szCs w:val="28"/>
        </w:rPr>
        <w:t xml:space="preserve">lithium resource reserves in Australia, Argentina, Mexico, Ireland, Africa, Mali, Jiangxi, Qinghai, Inner Mongolia, and other places. </w:t>
      </w:r>
      <w:r>
        <w:rPr>
          <w:rFonts w:hint="eastAsia" w:ascii="Arial" w:hAnsi="Arial" w:eastAsia="宋体" w:cs="Arial"/>
          <w:sz w:val="28"/>
          <w:szCs w:val="28"/>
        </w:rPr>
        <w:t>Ganfeng</w:t>
      </w:r>
      <w:r>
        <w:rPr>
          <w:rFonts w:ascii="Arial" w:hAnsi="Arial" w:eastAsia="宋体" w:cs="Arial"/>
          <w:sz w:val="28"/>
          <w:szCs w:val="28"/>
        </w:rPr>
        <w:t xml:space="preserve"> has the world's largest lithium salt processing </w:t>
      </w:r>
      <w:bookmarkStart w:id="10" w:name="OLE_LINK4"/>
      <w:r>
        <w:rPr>
          <w:rFonts w:ascii="Arial" w:hAnsi="Arial" w:eastAsia="宋体" w:cs="Arial"/>
          <w:sz w:val="28"/>
          <w:szCs w:val="28"/>
        </w:rPr>
        <w:t>base</w:t>
      </w:r>
      <w:bookmarkEnd w:id="10"/>
      <w:r>
        <w:rPr>
          <w:rFonts w:ascii="Arial" w:hAnsi="Arial" w:eastAsia="宋体" w:cs="Arial"/>
          <w:sz w:val="28"/>
          <w:szCs w:val="28"/>
        </w:rPr>
        <w:t xml:space="preserve">, including Mahong Plant and Ningdu Ganfeng Lithium Industry Co., Ltd, etc. </w:t>
      </w:r>
      <w:r>
        <w:rPr>
          <w:rFonts w:hint="eastAsia" w:ascii="Arial" w:hAnsi="Arial" w:eastAsia="宋体" w:cs="Arial"/>
          <w:sz w:val="28"/>
          <w:szCs w:val="28"/>
        </w:rPr>
        <w:t>T</w:t>
      </w:r>
      <w:r>
        <w:rPr>
          <w:rFonts w:ascii="Arial" w:hAnsi="Arial" w:eastAsia="宋体" w:cs="Arial"/>
          <w:sz w:val="28"/>
          <w:szCs w:val="28"/>
        </w:rPr>
        <w:t xml:space="preserve">he metal lithium sector mainly includes Yichun Ganfeng Lithium Industry Co., Ltd. </w:t>
      </w:r>
      <w:r>
        <w:rPr>
          <w:rFonts w:hint="eastAsia" w:ascii="Arial" w:hAnsi="Arial" w:eastAsia="宋体" w:cs="Arial"/>
          <w:sz w:val="28"/>
          <w:szCs w:val="28"/>
        </w:rPr>
        <w:t>and</w:t>
      </w:r>
      <w:r>
        <w:rPr>
          <w:rFonts w:ascii="Arial" w:hAnsi="Arial" w:eastAsia="宋体" w:cs="Arial"/>
          <w:sz w:val="28"/>
          <w:szCs w:val="28"/>
        </w:rPr>
        <w:t xml:space="preserve"> Fengxin Ganfeng Lithium Industry Co., Ltd., etc. The lithium battery manufacturing sector includes </w:t>
      </w:r>
      <w:r>
        <w:rPr>
          <w:rFonts w:hint="eastAsia" w:ascii="Arial" w:hAnsi="Arial" w:eastAsia="宋体" w:cs="Arial"/>
          <w:sz w:val="28"/>
          <w:szCs w:val="28"/>
        </w:rPr>
        <w:t>Jiangxi Ganfeng LiEnergy Technology Co., Ltd</w:t>
      </w:r>
      <w:r>
        <w:rPr>
          <w:rFonts w:ascii="Arial" w:hAnsi="Arial" w:eastAsia="宋体" w:cs="Arial"/>
          <w:sz w:val="28"/>
          <w:szCs w:val="28"/>
        </w:rPr>
        <w:t>., and its subsidiaries.</w:t>
      </w:r>
      <w:r>
        <w:rPr>
          <w:rFonts w:ascii="Arial" w:hAnsi="Arial" w:eastAsia="宋体" w:cs="Arial"/>
          <w:sz w:val="28"/>
          <w:szCs w:val="28"/>
        </w:rPr>
        <w:tab/>
      </w:r>
      <w:r>
        <w:rPr>
          <w:rFonts w:ascii="Arial" w:hAnsi="Arial" w:eastAsia="宋体" w:cs="Arial"/>
          <w:sz w:val="28"/>
          <w:szCs w:val="28"/>
        </w:rPr>
        <w:t>The lithium battery recycling sector mainly includes Jiangxi Ganfeng Recycling Technology Co., Ltd. and</w:t>
      </w:r>
      <w:bookmarkStart w:id="11" w:name="OLE_LINK5"/>
      <w:r>
        <w:rPr>
          <w:rFonts w:ascii="Arial" w:hAnsi="Arial" w:eastAsia="宋体" w:cs="Arial"/>
          <w:sz w:val="28"/>
          <w:szCs w:val="28"/>
        </w:rPr>
        <w:t xml:space="preserve"> Ganzhou Ganfeng Renewable Resources Co., Ltd</w:t>
      </w:r>
      <w:bookmarkEnd w:id="11"/>
      <w:r>
        <w:rPr>
          <w:rFonts w:ascii="Arial" w:hAnsi="Arial" w:eastAsia="宋体" w:cs="Arial"/>
          <w:sz w:val="28"/>
          <w:szCs w:val="28"/>
        </w:rPr>
        <w:t>.</w:t>
      </w:r>
    </w:p>
    <w:p>
      <w:pPr>
        <w:pStyle w:val="4"/>
        <w:rPr>
          <w:rFonts w:ascii="Arial" w:hAnsi="Arial" w:cs="Arial"/>
        </w:rPr>
      </w:pPr>
      <w:bookmarkStart w:id="12" w:name="_Toc147938256"/>
      <w:r>
        <w:rPr>
          <w:rFonts w:ascii="Arial" w:hAnsi="Arial" w:cs="Arial"/>
        </w:rPr>
        <w:t xml:space="preserve">2 Responsible Minerals </w:t>
      </w:r>
      <w:r>
        <w:rPr>
          <w:rFonts w:ascii="Arial" w:hAnsi="Arial" w:cs="Arial"/>
          <w:lang w:val="en-US"/>
        </w:rPr>
        <w:t xml:space="preserve">Supply </w:t>
      </w:r>
      <w:r>
        <w:rPr>
          <w:rFonts w:ascii="Arial" w:hAnsi="Arial" w:cs="Arial"/>
        </w:rPr>
        <w:t>Chain Policy (all sources)</w:t>
      </w:r>
      <w:bookmarkEnd w:id="12"/>
    </w:p>
    <w:p>
      <w:pPr>
        <w:spacing w:line="480" w:lineRule="exact"/>
        <w:ind w:firstLine="560" w:firstLineChars="200"/>
        <w:rPr>
          <w:rFonts w:ascii="Arial" w:hAnsi="Arial" w:eastAsia="宋体" w:cs="Arial"/>
          <w:sz w:val="28"/>
          <w:szCs w:val="28"/>
        </w:rPr>
      </w:pPr>
      <w:r>
        <w:rPr>
          <w:rFonts w:ascii="Arial" w:hAnsi="Arial" w:eastAsia="宋体" w:cs="Arial"/>
          <w:sz w:val="28"/>
          <w:szCs w:val="28"/>
        </w:rPr>
        <w:t xml:space="preserve">Ganfeng fully recognizes that risks of significant adverse impacts which may be associated with extracting, trading, handling, and exporting minerals from high-risk areas, and recognizes that it has the responsibility and obligation to respect human rights and not contribute to negative impacts to environment and society. It commits to adopt the OECD Due Diligence Guidance for Responsible Supply Chains of Minerals from Conflict-Affected and High-Risk Areas, Edition 3 </w:t>
      </w:r>
      <w:r>
        <w:rPr>
          <w:rFonts w:hint="eastAsia" w:ascii="Arial" w:hAnsi="Arial" w:eastAsia="宋体" w:cs="Arial"/>
          <w:sz w:val="28"/>
          <w:szCs w:val="28"/>
        </w:rPr>
        <w:t>(</w:t>
      </w:r>
      <w:r>
        <w:rPr>
          <w:rFonts w:ascii="Arial" w:hAnsi="Arial" w:eastAsia="宋体" w:cs="Arial"/>
          <w:sz w:val="28"/>
          <w:szCs w:val="28"/>
        </w:rPr>
        <w:t>OECD Guidance), Guidelines for Social Responsibility in Outbound Mining Investments, Chinese Due Diligence Guidelines for Responsible Mineral Supply Chains, Edition 2 (Chinese Guidance) and other documents, formulated and published the Responsible Mineral Supply Chain Policy on the company's official website. This policy has been reviewed and approved by senior management, and widely disseminated through stakeholders (suppliers, customers, employees, etc.) and can be viewed on the company's website: www.ganfenglithium.com.</w:t>
      </w:r>
    </w:p>
    <w:p>
      <w:pPr>
        <w:pStyle w:val="4"/>
        <w:rPr>
          <w:rFonts w:ascii="Arial" w:hAnsi="Arial" w:cs="Arial"/>
        </w:rPr>
      </w:pPr>
      <w:bookmarkStart w:id="13" w:name="_Toc147938257"/>
      <w:bookmarkStart w:id="14" w:name="_Toc16232"/>
      <w:r>
        <w:rPr>
          <w:rFonts w:ascii="Arial" w:hAnsi="Arial" w:cs="Arial"/>
        </w:rPr>
        <w:t>3 Company Management System (all sources)</w:t>
      </w:r>
      <w:bookmarkEnd w:id="13"/>
    </w:p>
    <w:p>
      <w:pPr>
        <w:rPr>
          <w:rFonts w:ascii="Arial" w:hAnsi="Arial" w:cs="Arial"/>
          <w:b/>
          <w:bCs/>
          <w:sz w:val="30"/>
          <w:szCs w:val="30"/>
        </w:rPr>
      </w:pPr>
      <w:r>
        <w:rPr>
          <w:rFonts w:ascii="Arial" w:hAnsi="Arial" w:cs="Arial"/>
          <w:b/>
          <w:bCs/>
          <w:sz w:val="30"/>
          <w:szCs w:val="30"/>
        </w:rPr>
        <w:t>3.1 Management structure</w:t>
      </w:r>
    </w:p>
    <w:p>
      <w:pPr>
        <w:spacing w:line="480" w:lineRule="exact"/>
        <w:rPr>
          <w:rFonts w:ascii="Arial" w:hAnsi="Arial" w:eastAsia="宋体" w:cs="Arial"/>
          <w:sz w:val="28"/>
          <w:szCs w:val="28"/>
        </w:rPr>
      </w:pPr>
      <w:bookmarkStart w:id="15" w:name="OLE_LINK9"/>
      <w:r>
        <w:rPr>
          <w:rFonts w:ascii="Arial" w:hAnsi="Arial" w:eastAsia="宋体" w:cs="Arial"/>
          <w:sz w:val="28"/>
          <w:szCs w:val="28"/>
        </w:rPr>
        <w:t xml:space="preserve">The board of directors of Ganfeng is the governing body which owns the company's highest responsibilities and decision-making rights for ESG matters. It </w:t>
      </w:r>
      <w:bookmarkStart w:id="16" w:name="OLE_LINK10"/>
      <w:r>
        <w:rPr>
          <w:rFonts w:ascii="Arial" w:hAnsi="Arial" w:eastAsia="宋体" w:cs="Arial"/>
          <w:sz w:val="28"/>
          <w:szCs w:val="28"/>
        </w:rPr>
        <w:t>performs management</w:t>
      </w:r>
      <w:bookmarkEnd w:id="16"/>
      <w:r>
        <w:rPr>
          <w:rFonts w:ascii="Arial" w:hAnsi="Arial" w:eastAsia="宋体" w:cs="Arial"/>
          <w:sz w:val="28"/>
          <w:szCs w:val="28"/>
        </w:rPr>
        <w:t xml:space="preserve"> and supervisory responsibilities for the company's ESG management policies and strategies.</w:t>
      </w:r>
      <w:bookmarkEnd w:id="15"/>
      <w:r>
        <w:rPr>
          <w:rFonts w:ascii="Arial" w:hAnsi="Arial" w:eastAsia="宋体" w:cs="Arial"/>
          <w:sz w:val="28"/>
          <w:szCs w:val="28"/>
        </w:rPr>
        <w:t xml:space="preserve"> Ganfeng has set up a Sustainable Development Committee under the board of directors, with the company's vice chairman directly serving as the chairman of the Committee. Through the formulation of the Working Rules Sustainability Development Committee of the Board of Directors, to clarify the responsibilities of each department to implement specific ESG matters. In 2020, Ganfeng set up a responsible supply chain due diligence management team under the Sustainable Development Committee to guide a series of complete supply chain control systems. The following measures and procedures are adopted to ensure conflict raw materials from conflict-affected areas will never be purchased and stop any conflict raw materials enter Ganfeng's production, prevent the mining and trade of minerals becoming a source of conflict, human rights violations, and insecurity. Ganfeng strictly abides by its commitments in supply chain policies and has developed the following internal due diligence processes:</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(1) The executive vice president of the company is responsible for supervision, design and implementation of due diligence plans and risk management.</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 xml:space="preserve">(2) </w:t>
      </w:r>
      <w:r>
        <w:rPr>
          <w:rFonts w:hint="eastAsia" w:ascii="Arial" w:hAnsi="Arial" w:eastAsia="宋体" w:cs="Arial"/>
          <w:sz w:val="28"/>
          <w:szCs w:val="28"/>
        </w:rPr>
        <w:t>Ganfeng</w:t>
      </w:r>
      <w:r>
        <w:rPr>
          <w:rFonts w:ascii="Arial" w:hAnsi="Arial" w:eastAsia="宋体" w:cs="Arial"/>
          <w:sz w:val="28"/>
          <w:szCs w:val="28"/>
        </w:rPr>
        <w:t xml:space="preserve"> has appointed a due diligence plan manager to coordinate the work of relevant departments (including the marketing department, import and export department, quality management department, </w:t>
      </w:r>
      <w:r>
        <w:rPr>
          <w:rFonts w:ascii="Arial" w:hAnsi="Arial" w:eastAsia="宋体" w:cs="Arial"/>
          <w:sz w:val="28"/>
          <w:szCs w:val="28"/>
          <w:lang w:val="en-US"/>
        </w:rPr>
        <w:t>etc.)</w:t>
      </w:r>
      <w:r>
        <w:rPr>
          <w:rFonts w:ascii="Arial" w:hAnsi="Arial" w:eastAsia="宋体" w:cs="Arial"/>
          <w:sz w:val="28"/>
          <w:szCs w:val="28"/>
        </w:rPr>
        <w:t xml:space="preserve"> to ensure that each department fulfills its duties, implements the due diligence plan, and reports any warning signs once potential risks are discovered.</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 xml:space="preserve">(3) </w:t>
      </w:r>
      <w:r>
        <w:rPr>
          <w:rFonts w:hint="eastAsia" w:ascii="Arial" w:hAnsi="Arial" w:eastAsia="宋体" w:cs="Arial"/>
          <w:sz w:val="28"/>
          <w:szCs w:val="28"/>
        </w:rPr>
        <w:t>Ganfeng</w:t>
      </w:r>
      <w:r>
        <w:rPr>
          <w:rFonts w:ascii="Arial" w:hAnsi="Arial" w:eastAsia="宋体" w:cs="Arial"/>
          <w:sz w:val="28"/>
          <w:szCs w:val="28"/>
        </w:rPr>
        <w:t xml:space="preserve"> conducts due diligence management system training for key </w:t>
      </w:r>
      <w:bookmarkStart w:id="17" w:name="OLE_LINK1"/>
      <w:r>
        <w:rPr>
          <w:rFonts w:ascii="Arial" w:hAnsi="Arial" w:eastAsia="宋体" w:cs="Arial"/>
          <w:sz w:val="28"/>
          <w:szCs w:val="28"/>
        </w:rPr>
        <w:t xml:space="preserve">personnel </w:t>
      </w:r>
      <w:bookmarkEnd w:id="17"/>
      <w:r>
        <w:rPr>
          <w:rFonts w:ascii="Arial" w:hAnsi="Arial" w:eastAsia="宋体" w:cs="Arial"/>
          <w:sz w:val="28"/>
          <w:szCs w:val="28"/>
        </w:rPr>
        <w:t>of all relevant departments every year in accordance with the requirements of the due diligence plan. If the plan is updated, the company will conduct additional training as required.</w:t>
      </w:r>
    </w:p>
    <w:p>
      <w:pPr>
        <w:rPr>
          <w:rFonts w:ascii="Arial" w:hAnsi="Arial" w:cs="Arial"/>
          <w:b/>
          <w:bCs/>
          <w:sz w:val="30"/>
          <w:szCs w:val="30"/>
        </w:rPr>
      </w:pPr>
      <w:r>
        <w:rPr>
          <w:rFonts w:ascii="Arial" w:hAnsi="Arial" w:cs="Arial"/>
          <w:b/>
          <w:bCs/>
          <w:sz w:val="30"/>
          <w:szCs w:val="30"/>
        </w:rPr>
        <w:t>3.2 Internal control system</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In 2020, Ganfeng established the industry's first lithium supply chain due diligence management system and procedure documents, including the Ganfeng Lithium Industry Supplier Code of Conduct and Due Diligence Management Procedure for Responsible Mineral Supply Chains, to promote supply chain due diligence management. Ganfeng has incorporated the supply chain due diligence management process into the sustainable development system, and clearly integrated supplier safety, environmental protection, and social requirements into the Supplier Code of Conduct, covering aspects from law-abiding operations, compliant employment, resource consumption, emission control, health and safety, business ethics and other aspects, to guide and standardize the behavior of upstream lithium ore supplier.</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 xml:space="preserve">Every year, under the leadership of the company's responsible supply chain due diligence management team, Ganfeng updates the Responsible Mineral Supply Chain Management Policy and other documents which are consistent with the OECD Guidelines and RMAP to improve the due diligence management of the lithium supply chain. </w:t>
      </w:r>
      <w:r>
        <w:rPr>
          <w:rFonts w:hint="eastAsia" w:ascii="Arial" w:hAnsi="Arial" w:eastAsia="宋体" w:cs="Arial"/>
          <w:sz w:val="28"/>
          <w:szCs w:val="28"/>
        </w:rPr>
        <w:t>Ganfeng</w:t>
      </w:r>
      <w:r>
        <w:rPr>
          <w:rFonts w:ascii="Arial" w:hAnsi="Arial" w:eastAsia="宋体" w:cs="Arial"/>
          <w:sz w:val="28"/>
          <w:szCs w:val="28"/>
        </w:rPr>
        <w:t xml:space="preserve"> will continue to follow up on signing the Supplier Code of Conduct, guide and standardize the behavior of upstream lithium mine suppliers and encourage them to assume more environmental and social responsibilities.</w:t>
      </w:r>
    </w:p>
    <w:p>
      <w:pPr>
        <w:spacing w:line="480" w:lineRule="exact"/>
        <w:ind w:firstLine="560" w:firstLineChars="200"/>
        <w:rPr>
          <w:rFonts w:ascii="Arial" w:hAnsi="Arial" w:eastAsia="宋体" w:cs="Arial"/>
          <w:sz w:val="28"/>
          <w:szCs w:val="28"/>
        </w:rPr>
      </w:pPr>
      <w:r>
        <w:rPr>
          <w:rFonts w:hint="eastAsia" w:ascii="Arial" w:hAnsi="Arial" w:eastAsia="宋体" w:cs="Arial"/>
          <w:sz w:val="28"/>
          <w:szCs w:val="28"/>
        </w:rPr>
        <w:t>Ganfeng</w:t>
      </w:r>
      <w:r>
        <w:rPr>
          <w:rFonts w:ascii="Arial" w:hAnsi="Arial" w:eastAsia="宋体" w:cs="Arial"/>
          <w:sz w:val="28"/>
          <w:szCs w:val="28"/>
        </w:rPr>
        <w:t xml:space="preserve"> has established t</w:t>
      </w:r>
      <w:r>
        <w:rPr>
          <w:rFonts w:hint="eastAsia" w:ascii="Arial" w:hAnsi="Arial" w:eastAsia="宋体" w:cs="Arial"/>
          <w:sz w:val="28"/>
          <w:szCs w:val="28"/>
        </w:rPr>
        <w:t>h</w:t>
      </w:r>
      <w:r>
        <w:rPr>
          <w:rFonts w:ascii="Arial" w:hAnsi="Arial" w:eastAsia="宋体" w:cs="Arial"/>
          <w:sz w:val="28"/>
          <w:szCs w:val="28"/>
        </w:rPr>
        <w:t xml:space="preserve">e complaint mechanism, contacted channels, and collected complaint information from relevant parties. </w:t>
      </w:r>
      <w:r>
        <w:rPr>
          <w:rFonts w:hint="eastAsia" w:ascii="Arial" w:hAnsi="Arial" w:eastAsia="宋体" w:cs="Arial"/>
          <w:sz w:val="28"/>
          <w:szCs w:val="28"/>
        </w:rPr>
        <w:t>The</w:t>
      </w:r>
      <w:r>
        <w:rPr>
          <w:rFonts w:ascii="Arial" w:hAnsi="Arial" w:eastAsia="宋体" w:cs="Arial"/>
          <w:sz w:val="28"/>
          <w:szCs w:val="28"/>
        </w:rPr>
        <w:t xml:space="preserve"> channels for Contact/complaint are published in the sustainable development module of Ganfeng's official website.</w:t>
      </w:r>
    </w:p>
    <w:p>
      <w:pPr>
        <w:rPr>
          <w:rFonts w:ascii="Arial" w:hAnsi="Arial" w:cs="Arial"/>
          <w:b/>
          <w:bCs/>
          <w:sz w:val="30"/>
          <w:szCs w:val="30"/>
        </w:rPr>
      </w:pPr>
      <w:r>
        <w:rPr>
          <w:rFonts w:ascii="Arial" w:hAnsi="Arial" w:cs="Arial"/>
          <w:b/>
          <w:bCs/>
          <w:sz w:val="30"/>
          <w:szCs w:val="30"/>
        </w:rPr>
        <w:t>3.3 Record retention system</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The company requires that all records related to the due diligence plan need to be kept for at least five years. Qualification documents and communication records related to suppliers are regularly updated and archived.</w:t>
      </w:r>
    </w:p>
    <w:p>
      <w:pPr>
        <w:pStyle w:val="4"/>
        <w:rPr>
          <w:rFonts w:ascii="Arial" w:hAnsi="Arial" w:cs="Arial"/>
        </w:rPr>
      </w:pPr>
      <w:bookmarkStart w:id="18" w:name="_Toc147938258"/>
      <w:r>
        <w:rPr>
          <w:rFonts w:ascii="Arial" w:hAnsi="Arial" w:cs="Arial"/>
        </w:rPr>
        <w:t>4 Risk identification (all sources)</w:t>
      </w:r>
      <w:bookmarkEnd w:id="18"/>
    </w:p>
    <w:p>
      <w:pPr>
        <w:ind w:firstLine="560" w:firstLineChars="200"/>
        <w:rPr>
          <w:rFonts w:ascii="Arial" w:hAnsi="Arial" w:eastAsia="宋体" w:cs="Arial"/>
          <w:sz w:val="28"/>
          <w:szCs w:val="28"/>
        </w:rPr>
      </w:pPr>
      <w:r>
        <w:rPr>
          <w:rFonts w:ascii="Arial" w:hAnsi="Arial" w:eastAsia="宋体" w:cs="Arial"/>
          <w:sz w:val="28"/>
          <w:szCs w:val="28"/>
        </w:rPr>
        <w:t>The company has a completed process in place to identify risks in the supply chain.</w:t>
      </w:r>
    </w:p>
    <w:p>
      <w:pPr>
        <w:rPr>
          <w:rFonts w:ascii="Arial" w:hAnsi="Arial" w:cs="Arial"/>
          <w:b/>
          <w:bCs/>
          <w:sz w:val="30"/>
          <w:szCs w:val="30"/>
        </w:rPr>
      </w:pPr>
      <w:r>
        <w:rPr>
          <w:rFonts w:ascii="Arial" w:hAnsi="Arial" w:cs="Arial"/>
          <w:b/>
          <w:bCs/>
          <w:sz w:val="30"/>
          <w:szCs w:val="30"/>
        </w:rPr>
        <w:t>4.1 CAHRAs identification tool</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With reference to risks in the company's supply chain policy, the company has developed procedures for identifying CAHRAs. The process includes the resources used, the criteria for identifying “conflict-affected and high-risk” areas and the frequency with which we review our decisions. Companies use the following resources to determine CAHRA 's:</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(1) Heidelberg “Global Conflict Barometer” ;</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(2) Dodd-Frank Act;</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 xml:space="preserve">(3) </w:t>
      </w:r>
      <w:r>
        <w:rPr>
          <w:rFonts w:hint="eastAsia" w:ascii="Arial" w:hAnsi="Arial" w:eastAsia="宋体" w:cs="Arial"/>
          <w:sz w:val="28"/>
          <w:szCs w:val="28"/>
        </w:rPr>
        <w:t>EU Conflict Minerals Regulation CAHRA List</w:t>
      </w:r>
      <w:r>
        <w:rPr>
          <w:rFonts w:ascii="Arial" w:hAnsi="Arial" w:eastAsia="宋体" w:cs="Arial"/>
          <w:sz w:val="28"/>
          <w:szCs w:val="28"/>
        </w:rPr>
        <w:t>;</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(4) United Nations sanctions list;</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(5) Financial Action Task Force on Money Laundering;</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(6) United Nations Human Development Index.</w:t>
      </w:r>
    </w:p>
    <w:p>
      <w:pPr>
        <w:rPr>
          <w:rFonts w:ascii="Arial" w:hAnsi="Arial" w:cs="Arial"/>
          <w:b/>
          <w:bCs/>
          <w:sz w:val="30"/>
          <w:szCs w:val="30"/>
        </w:rPr>
      </w:pPr>
      <w:r>
        <w:rPr>
          <w:rFonts w:ascii="Arial" w:hAnsi="Arial" w:cs="Arial"/>
          <w:b/>
          <w:bCs/>
          <w:sz w:val="30"/>
          <w:szCs w:val="30"/>
        </w:rPr>
        <w:t>4.2 KYS exe</w:t>
      </w:r>
      <w:bookmarkStart w:id="24" w:name="_GoBack"/>
      <w:bookmarkEnd w:id="24"/>
      <w:r>
        <w:rPr>
          <w:rFonts w:ascii="Arial" w:hAnsi="Arial" w:cs="Arial"/>
          <w:b/>
          <w:bCs/>
          <w:sz w:val="30"/>
          <w:szCs w:val="30"/>
        </w:rPr>
        <w:t>cution</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 xml:space="preserve">Ganfeng has designed a set of Know Your Supplier (KYS) documents to include information about the legal status and identity of suppliers, supplier analysis and potential risks. Most of our suppliers have completed and reverted KYS forms. The company's due diligence program manager reviews information provided by suppliers and information such as United Nations sanctions lists. If inconsistencies, errors, or incomplete information are found in a KYS form, </w:t>
      </w:r>
      <w:r>
        <w:rPr>
          <w:rFonts w:hint="eastAsia" w:ascii="Arial" w:hAnsi="Arial" w:eastAsia="宋体" w:cs="Arial"/>
          <w:sz w:val="28"/>
          <w:szCs w:val="28"/>
        </w:rPr>
        <w:t>Ganfeng</w:t>
      </w:r>
      <w:r>
        <w:rPr>
          <w:rFonts w:ascii="Arial" w:hAnsi="Arial" w:eastAsia="宋体" w:cs="Arial"/>
          <w:sz w:val="28"/>
          <w:szCs w:val="28"/>
        </w:rPr>
        <w:t xml:space="preserve"> will inform the suppliers where improvements need to be made and request an updated form. Once red flags are identified, the company will further work with the supplier to clarify and improve documentation where necessary. During this reporting period, no red flags were identified related to the KYS forms submitted.</w:t>
      </w:r>
    </w:p>
    <w:p>
      <w:pPr>
        <w:rPr>
          <w:rFonts w:ascii="Arial" w:hAnsi="Arial" w:cs="Arial"/>
          <w:b/>
          <w:bCs/>
          <w:sz w:val="30"/>
          <w:szCs w:val="30"/>
        </w:rPr>
      </w:pPr>
      <w:r>
        <w:rPr>
          <w:rFonts w:ascii="Arial" w:hAnsi="Arial" w:cs="Arial"/>
          <w:b/>
          <w:bCs/>
          <w:sz w:val="30"/>
          <w:szCs w:val="30"/>
        </w:rPr>
        <w:t>4.3 Others</w:t>
      </w:r>
    </w:p>
    <w:p>
      <w:pPr>
        <w:spacing w:line="480" w:lineRule="exact"/>
        <w:ind w:firstLine="560" w:firstLineChars="200"/>
        <w:rPr>
          <w:rFonts w:ascii="Arial" w:hAnsi="Arial" w:eastAsia="宋体" w:cs="Arial"/>
          <w:sz w:val="28"/>
          <w:szCs w:val="28"/>
        </w:rPr>
      </w:pPr>
      <w:r>
        <w:rPr>
          <w:rFonts w:hint="eastAsia" w:ascii="Arial" w:hAnsi="Arial" w:eastAsia="宋体" w:cs="Arial"/>
          <w:sz w:val="28"/>
          <w:szCs w:val="28"/>
        </w:rPr>
        <w:t>Ganfeng</w:t>
      </w:r>
      <w:r>
        <w:rPr>
          <w:rFonts w:ascii="Arial" w:hAnsi="Arial" w:eastAsia="宋体" w:cs="Arial"/>
          <w:sz w:val="28"/>
          <w:szCs w:val="28"/>
        </w:rPr>
        <w:t xml:space="preserve"> requires country-of-origin information for every significant transaction and ensures access to the transaction source, transportation routes, and the names and locations of direct suppliers.</w:t>
      </w:r>
    </w:p>
    <w:p>
      <w:pPr>
        <w:spacing w:line="480" w:lineRule="exact"/>
        <w:ind w:left="210" w:leftChars="100" w:firstLine="280" w:firstLineChars="100"/>
        <w:rPr>
          <w:rFonts w:ascii="Arial" w:hAnsi="Arial" w:eastAsia="宋体" w:cs="Arial"/>
          <w:sz w:val="28"/>
          <w:szCs w:val="28"/>
        </w:rPr>
      </w:pPr>
      <w:r>
        <w:rPr>
          <w:rFonts w:hint="eastAsia" w:ascii="Arial" w:hAnsi="Arial" w:eastAsia="宋体" w:cs="Arial"/>
          <w:sz w:val="28"/>
          <w:szCs w:val="28"/>
        </w:rPr>
        <w:t>Ganfeng</w:t>
      </w:r>
      <w:r>
        <w:rPr>
          <w:rFonts w:ascii="Arial" w:hAnsi="Arial" w:eastAsia="宋体" w:cs="Arial"/>
          <w:sz w:val="28"/>
          <w:szCs w:val="28"/>
        </w:rPr>
        <w:t xml:space="preserve"> reviews all information collected with reference to CAHRA 's, sanctions list, local laws and internal procurement requirements.</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No complaints from relevant parties (affected persons or whistleblowers) were received during the period covered by this report.</w:t>
      </w:r>
    </w:p>
    <w:p>
      <w:pPr>
        <w:pStyle w:val="4"/>
        <w:rPr>
          <w:rFonts w:ascii="Arial" w:hAnsi="Arial" w:cs="Arial"/>
        </w:rPr>
      </w:pPr>
      <w:bookmarkStart w:id="19" w:name="_Toc147938259"/>
      <w:r>
        <w:rPr>
          <w:rFonts w:ascii="Arial" w:hAnsi="Arial" w:cs="Arial"/>
        </w:rPr>
        <w:t>5 Risk Assessment (High Risk Procurement Only)</w:t>
      </w:r>
      <w:bookmarkEnd w:id="19"/>
    </w:p>
    <w:p>
      <w:pPr>
        <w:spacing w:line="480" w:lineRule="exact"/>
        <w:ind w:firstLine="560" w:firstLineChars="200"/>
        <w:rPr>
          <w:rFonts w:ascii="Arial" w:hAnsi="Arial" w:eastAsia="宋体" w:cs="Arial"/>
          <w:sz w:val="28"/>
          <w:szCs w:val="28"/>
        </w:rPr>
      </w:pPr>
      <w:r>
        <w:rPr>
          <w:rFonts w:ascii="Arial" w:hAnsi="Arial" w:eastAsia="宋体" w:cs="Arial"/>
          <w:sz w:val="28"/>
          <w:szCs w:val="28"/>
        </w:rPr>
        <w:t>For raw materials and supply chains identified as “high risk,” Ganfeng will conduct enhanced due diligence. This includes:</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(1) Evaluate the background of CAHRAs;</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(2) Clarify the chain of custody;</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(3) Evaluate activities and relationships with upstream suppliers;</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(4) Identify the locations and quantitative conditions for extracting, trading, handling, and exporting of ores;</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(5) Conduct on-site risk assessment.</w:t>
      </w:r>
    </w:p>
    <w:p>
      <w:pPr>
        <w:pStyle w:val="4"/>
        <w:rPr>
          <w:rFonts w:ascii="Arial" w:hAnsi="Arial" w:cs="Arial"/>
        </w:rPr>
      </w:pPr>
      <w:bookmarkStart w:id="20" w:name="_Toc147938260"/>
      <w:r>
        <w:rPr>
          <w:rFonts w:ascii="Arial" w:hAnsi="Arial" w:cs="Arial"/>
        </w:rPr>
        <w:t>6 Develop and implement response policies for identified risks</w:t>
      </w:r>
      <w:bookmarkEnd w:id="20"/>
    </w:p>
    <w:p>
      <w:pPr>
        <w:spacing w:line="480" w:lineRule="exact"/>
        <w:ind w:firstLine="560" w:firstLineChars="200"/>
        <w:rPr>
          <w:rFonts w:ascii="Arial" w:hAnsi="Arial" w:eastAsia="宋体" w:cs="Arial"/>
          <w:sz w:val="28"/>
          <w:szCs w:val="28"/>
        </w:rPr>
      </w:pPr>
      <w:r>
        <w:rPr>
          <w:rFonts w:ascii="Arial" w:hAnsi="Arial" w:eastAsia="宋体" w:cs="Arial"/>
          <w:sz w:val="28"/>
          <w:szCs w:val="28"/>
        </w:rPr>
        <w:t>Ganfeng internally conducts risk assessment and analysis on suppliers based on information collected from recycling questionnaires, ore source surveys, online information, and other platforms. After communicating the corresponding risk situations with suppliers, jointly establish feasible improvement action and reports the risks and risk mitigation plans to company leaders for approval.</w:t>
      </w:r>
    </w:p>
    <w:p>
      <w:pPr>
        <w:spacing w:line="480" w:lineRule="exact"/>
        <w:ind w:firstLine="560" w:firstLineChars="200"/>
        <w:rPr>
          <w:rFonts w:ascii="Arial" w:hAnsi="Arial" w:eastAsia="宋体" w:cs="Arial"/>
          <w:sz w:val="28"/>
          <w:szCs w:val="28"/>
        </w:rPr>
      </w:pPr>
      <w:r>
        <w:rPr>
          <w:rFonts w:ascii="Arial" w:hAnsi="Arial" w:eastAsia="宋体" w:cs="Arial"/>
          <w:sz w:val="28"/>
          <w:szCs w:val="28"/>
        </w:rPr>
        <w:t>At the present stage, no risky suppliers have been found in the company's supply chain system. Ganfeng will continue to conduct risk identification of suppliers in the supply chain in 2023. Strengthening the collection of information related to suppliers' raw material sources; enhancing communication with supplier, when conditions permit, conducting on-site visits and inspections to supplier; inviting suppliers to conduct due diligence third-party audits.</w:t>
      </w:r>
    </w:p>
    <w:p>
      <w:pPr>
        <w:pStyle w:val="4"/>
        <w:rPr>
          <w:rFonts w:ascii="Arial" w:hAnsi="Arial" w:cs="Arial"/>
        </w:rPr>
      </w:pPr>
      <w:bookmarkStart w:id="21" w:name="_Toc147938261"/>
      <w:r>
        <w:rPr>
          <w:rFonts w:ascii="Arial" w:hAnsi="Arial" w:cs="Arial"/>
        </w:rPr>
        <w:t xml:space="preserve">7 </w:t>
      </w:r>
      <w:r>
        <w:rPr>
          <w:rFonts w:hint="eastAsia" w:ascii="Arial" w:hAnsi="Arial" w:cs="Arial"/>
          <w:lang w:val="en-US" w:eastAsia="zh-CN"/>
        </w:rPr>
        <w:t>R</w:t>
      </w:r>
      <w:r>
        <w:rPr>
          <w:rFonts w:ascii="Arial" w:hAnsi="Arial" w:cs="Arial"/>
        </w:rPr>
        <w:t>isk mitigation</w:t>
      </w:r>
      <w:bookmarkEnd w:id="21"/>
    </w:p>
    <w:p>
      <w:pPr>
        <w:widowControl/>
        <w:spacing w:line="480" w:lineRule="exact"/>
        <w:ind w:firstLine="560" w:firstLineChars="200"/>
        <w:rPr>
          <w:rFonts w:ascii="Arial" w:hAnsi="Arial" w:eastAsia="宋体" w:cs="Arial"/>
          <w:sz w:val="28"/>
          <w:szCs w:val="28"/>
        </w:rPr>
      </w:pPr>
      <w:r>
        <w:rPr>
          <w:rFonts w:hint="eastAsia" w:ascii="Arial" w:hAnsi="Arial" w:eastAsia="宋体" w:cs="Arial"/>
          <w:sz w:val="28"/>
          <w:szCs w:val="28"/>
        </w:rPr>
        <w:t>Ganfeng</w:t>
      </w:r>
      <w:r>
        <w:rPr>
          <w:rFonts w:ascii="Arial" w:hAnsi="Arial" w:eastAsia="宋体" w:cs="Arial"/>
          <w:sz w:val="28"/>
          <w:szCs w:val="28"/>
        </w:rPr>
        <w:t xml:space="preserve"> will manage and control supply chain risks in accordance with the Due Diligence Management Procedure for Responsible Mineral Supply Chains. Once warning signs or high-risk raw materials are discovered, we will take risk mitigation and management measures. Report findings to senior company management, explaining the information collected during the supply chain risk assessment and the actual potential risks identified.</w:t>
      </w:r>
    </w:p>
    <w:p>
      <w:pPr>
        <w:rPr>
          <w:rFonts w:ascii="Arial" w:hAnsi="Arial" w:cs="Arial"/>
          <w:b/>
          <w:bCs/>
          <w:sz w:val="30"/>
          <w:szCs w:val="30"/>
        </w:rPr>
      </w:pPr>
      <w:r>
        <w:rPr>
          <w:rFonts w:ascii="Arial" w:hAnsi="Arial" w:cs="Arial"/>
          <w:b/>
          <w:bCs/>
          <w:sz w:val="30"/>
          <w:szCs w:val="30"/>
        </w:rPr>
        <w:t>7.1 Risk Mitigation Strategies</w:t>
      </w:r>
    </w:p>
    <w:p>
      <w:pPr>
        <w:widowControl/>
        <w:spacing w:line="480" w:lineRule="exact"/>
        <w:ind w:firstLine="560" w:firstLineChars="200"/>
        <w:rPr>
          <w:rFonts w:ascii="Arial" w:hAnsi="Arial" w:eastAsia="宋体" w:cs="Arial"/>
          <w:sz w:val="28"/>
          <w:szCs w:val="28"/>
        </w:rPr>
      </w:pPr>
      <w:r>
        <w:rPr>
          <w:rFonts w:ascii="Arial" w:hAnsi="Arial" w:eastAsia="宋体" w:cs="Arial"/>
          <w:sz w:val="28"/>
          <w:szCs w:val="28"/>
        </w:rPr>
        <w:t>Develop and adopt risk mitigation plans based on the risk mitigation strategies in the company's supply chain policy and achieve the agreement after negotiating with suppliers and affected parties. Risk mitigation strategies include:</w:t>
      </w:r>
    </w:p>
    <w:p>
      <w:pPr>
        <w:widowControl/>
        <w:spacing w:line="480" w:lineRule="exact"/>
        <w:ind w:firstLine="560" w:firstLineChars="200"/>
        <w:rPr>
          <w:rFonts w:ascii="Arial" w:hAnsi="Arial" w:eastAsia="宋体" w:cs="Arial"/>
          <w:sz w:val="28"/>
          <w:szCs w:val="28"/>
        </w:rPr>
      </w:pPr>
      <w:r>
        <w:rPr>
          <w:rFonts w:ascii="Arial" w:hAnsi="Arial" w:eastAsia="宋体" w:cs="Arial"/>
          <w:sz w:val="28"/>
          <w:szCs w:val="28"/>
        </w:rPr>
        <w:t>(1) Continue trading throughout the measurable risk mitigation process;</w:t>
      </w:r>
    </w:p>
    <w:p>
      <w:pPr>
        <w:widowControl/>
        <w:spacing w:line="480" w:lineRule="exact"/>
        <w:ind w:firstLine="560" w:firstLineChars="200"/>
        <w:rPr>
          <w:rFonts w:ascii="Arial" w:hAnsi="Arial" w:eastAsia="宋体" w:cs="Arial"/>
          <w:sz w:val="28"/>
          <w:szCs w:val="28"/>
        </w:rPr>
      </w:pPr>
      <w:r>
        <w:rPr>
          <w:rFonts w:ascii="Arial" w:hAnsi="Arial" w:eastAsia="宋体" w:cs="Arial"/>
          <w:sz w:val="28"/>
          <w:szCs w:val="28"/>
        </w:rPr>
        <w:t>(2) Temporarily suspend trading while reducing risks continuously;</w:t>
      </w:r>
    </w:p>
    <w:p>
      <w:pPr>
        <w:widowControl/>
        <w:spacing w:line="480" w:lineRule="exact"/>
        <w:ind w:firstLine="560" w:firstLineChars="200"/>
        <w:rPr>
          <w:rFonts w:ascii="Arial" w:hAnsi="Arial" w:eastAsia="宋体" w:cs="Arial"/>
          <w:sz w:val="28"/>
          <w:szCs w:val="28"/>
        </w:rPr>
      </w:pPr>
      <w:r>
        <w:rPr>
          <w:rFonts w:ascii="Arial" w:hAnsi="Arial" w:eastAsia="宋体" w:cs="Arial"/>
          <w:sz w:val="28"/>
          <w:szCs w:val="28"/>
        </w:rPr>
        <w:t>(3) Terminate cooperation with suppliers when risk mitigation measures are unfeasible or unacceptable.</w:t>
      </w:r>
    </w:p>
    <w:p>
      <w:pPr>
        <w:rPr>
          <w:rFonts w:ascii="Arial" w:hAnsi="Arial" w:cs="Arial"/>
          <w:b/>
          <w:bCs/>
          <w:sz w:val="30"/>
          <w:szCs w:val="30"/>
        </w:rPr>
      </w:pPr>
      <w:r>
        <w:rPr>
          <w:rFonts w:ascii="Arial" w:hAnsi="Arial" w:cs="Arial"/>
          <w:b/>
          <w:bCs/>
          <w:sz w:val="30"/>
          <w:szCs w:val="30"/>
        </w:rPr>
        <w:t>7.2 Monitor and track the risk management plan</w:t>
      </w:r>
    </w:p>
    <w:p>
      <w:pPr>
        <w:pStyle w:val="11"/>
        <w:widowControl/>
        <w:shd w:val="clear" w:color="auto" w:fill="FFFFFF"/>
        <w:spacing w:beforeAutospacing="0" w:afterAutospacing="0" w:line="480" w:lineRule="exact"/>
        <w:ind w:firstLine="560" w:firstLineChars="200"/>
        <w:jc w:val="both"/>
        <w:rPr>
          <w:rFonts w:ascii="Arial" w:hAnsi="Arial" w:eastAsia="宋体" w:cs="Arial"/>
          <w:kern w:val="2"/>
          <w:sz w:val="28"/>
          <w:szCs w:val="28"/>
        </w:rPr>
      </w:pPr>
      <w:r>
        <w:rPr>
          <w:rFonts w:ascii="Arial" w:hAnsi="Arial" w:eastAsia="宋体" w:cs="Arial"/>
          <w:kern w:val="2"/>
          <w:sz w:val="28"/>
          <w:szCs w:val="28"/>
        </w:rPr>
        <w:t xml:space="preserve">Continuously monitor risks and evaluate the effectiveness of risk mitigation measures. If necessary, conduct risk assessment again after changes </w:t>
      </w:r>
      <w:r>
        <w:rPr>
          <w:rFonts w:ascii="Arial" w:hAnsi="Arial" w:eastAsia="宋体" w:cs="Arial"/>
          <w:kern w:val="2"/>
          <w:sz w:val="28"/>
          <w:szCs w:val="28"/>
          <w:lang w:val="en-US"/>
        </w:rPr>
        <w:t>in risk situations or relevant risks.</w:t>
      </w:r>
    </w:p>
    <w:p>
      <w:pPr>
        <w:pStyle w:val="4"/>
        <w:rPr>
          <w:rFonts w:ascii="Arial" w:hAnsi="Arial" w:cs="Arial"/>
        </w:rPr>
      </w:pPr>
      <w:bookmarkStart w:id="22" w:name="_Toc147938262"/>
      <w:r>
        <w:rPr>
          <w:rFonts w:ascii="Arial" w:hAnsi="Arial" w:cs="Arial"/>
        </w:rPr>
        <w:t xml:space="preserve">8 Independent third-party evaluation and </w:t>
      </w:r>
      <w:bookmarkStart w:id="23" w:name="OLE_LINK6"/>
      <w:r>
        <w:rPr>
          <w:rFonts w:ascii="Arial" w:hAnsi="Arial" w:cs="Arial"/>
        </w:rPr>
        <w:t>audit</w:t>
      </w:r>
      <w:bookmarkEnd w:id="22"/>
      <w:bookmarkEnd w:id="23"/>
    </w:p>
    <w:p>
      <w:pPr>
        <w:widowControl/>
        <w:spacing w:line="480" w:lineRule="exact"/>
        <w:ind w:firstLine="560" w:firstLineChars="200"/>
        <w:rPr>
          <w:rFonts w:ascii="Arial" w:hAnsi="Arial" w:eastAsia="宋体" w:cs="Arial"/>
          <w:sz w:val="28"/>
          <w:szCs w:val="28"/>
        </w:rPr>
      </w:pPr>
      <w:r>
        <w:rPr>
          <w:rFonts w:ascii="Arial" w:hAnsi="Arial" w:eastAsia="宋体" w:cs="Arial"/>
          <w:sz w:val="28"/>
          <w:szCs w:val="28"/>
        </w:rPr>
        <w:t>Ganfeng responds to the requirements of responsible mineral due diligence management actively and participates in third-party audits to meet stakeholders' expectations for compliance and transparency in the responsible mineral supply chain. In 2022, third-party organizations hired by customers such as Apple and Volvo, will visit the company to conduct supply chain due diligence audits to trace the source of lithium raw materials and ensure the stability and reliability of the supply chain.</w:t>
      </w:r>
    </w:p>
    <w:bookmarkEnd w:id="14"/>
    <w:p>
      <w:pPr>
        <w:ind w:firstLine="420" w:firstLineChars="200"/>
        <w:rPr>
          <w:rFonts w:ascii="Arial" w:hAnsi="Arial" w:cs="Arial"/>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t xml:space="preserve"> </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114300" distR="114300" simplePos="0" relativeHeight="251659264" behindDoc="1" locked="0" layoutInCell="1" allowOverlap="1">
          <wp:simplePos x="0" y="0"/>
          <wp:positionH relativeFrom="margin">
            <wp:posOffset>3928745</wp:posOffset>
          </wp:positionH>
          <wp:positionV relativeFrom="paragraph">
            <wp:posOffset>-429260</wp:posOffset>
          </wp:positionV>
          <wp:extent cx="1948815" cy="402590"/>
          <wp:effectExtent l="0" t="0" r="13335" b="16510"/>
          <wp:wrapNone/>
          <wp:docPr id="592321859" name="图片 592321859" descr="C:\Users\618087\Desktop\2020赣锋新logo素材包\屏幕用RGB色彩\RGB2020赣锋锂业_logo.png"/>
          <wp:cNvGraphicFramePr/>
          <a:graphic xmlns:a="http://schemas.openxmlformats.org/drawingml/2006/main">
            <a:graphicData uri="http://schemas.openxmlformats.org/drawingml/2006/picture">
              <pic:pic xmlns:pic="http://schemas.openxmlformats.org/drawingml/2006/picture">
                <pic:nvPicPr>
                  <pic:cNvPr id="592321859" name="图片 592321859" descr="C:\Users\618087\Desktop\2020赣锋新logo素材包\屏幕用RGB色彩\RGB2020赣锋锂业_logo.pn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948815" cy="40259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3050EE"/>
    <w:rsid w:val="00016E86"/>
    <w:rsid w:val="00042440"/>
    <w:rsid w:val="000A6F7C"/>
    <w:rsid w:val="000B5575"/>
    <w:rsid w:val="000C5999"/>
    <w:rsid w:val="00131777"/>
    <w:rsid w:val="001D564C"/>
    <w:rsid w:val="00222AAA"/>
    <w:rsid w:val="0022389D"/>
    <w:rsid w:val="00234990"/>
    <w:rsid w:val="002840F7"/>
    <w:rsid w:val="002A4212"/>
    <w:rsid w:val="003A5811"/>
    <w:rsid w:val="00417FA1"/>
    <w:rsid w:val="00435A9C"/>
    <w:rsid w:val="0043795A"/>
    <w:rsid w:val="00447E0C"/>
    <w:rsid w:val="00457780"/>
    <w:rsid w:val="00481D88"/>
    <w:rsid w:val="004B0DF7"/>
    <w:rsid w:val="004B4C9C"/>
    <w:rsid w:val="004C46C6"/>
    <w:rsid w:val="004C6977"/>
    <w:rsid w:val="004E4A0D"/>
    <w:rsid w:val="0057144A"/>
    <w:rsid w:val="005801FB"/>
    <w:rsid w:val="005A36DC"/>
    <w:rsid w:val="005C2BF7"/>
    <w:rsid w:val="005D4253"/>
    <w:rsid w:val="005E70A9"/>
    <w:rsid w:val="00634A8B"/>
    <w:rsid w:val="006F607B"/>
    <w:rsid w:val="007807D4"/>
    <w:rsid w:val="00792A44"/>
    <w:rsid w:val="00796147"/>
    <w:rsid w:val="007D5D88"/>
    <w:rsid w:val="00810A42"/>
    <w:rsid w:val="00816B8D"/>
    <w:rsid w:val="0089596A"/>
    <w:rsid w:val="008A21DA"/>
    <w:rsid w:val="009116CF"/>
    <w:rsid w:val="00937BE5"/>
    <w:rsid w:val="009B6838"/>
    <w:rsid w:val="009C3A54"/>
    <w:rsid w:val="009D4E6B"/>
    <w:rsid w:val="00A750F1"/>
    <w:rsid w:val="00B07495"/>
    <w:rsid w:val="00B17549"/>
    <w:rsid w:val="00BA2819"/>
    <w:rsid w:val="00C04DDD"/>
    <w:rsid w:val="00C166D7"/>
    <w:rsid w:val="00C30B9A"/>
    <w:rsid w:val="00C573C0"/>
    <w:rsid w:val="00C60371"/>
    <w:rsid w:val="00CE6D12"/>
    <w:rsid w:val="00D14C24"/>
    <w:rsid w:val="00D53BDA"/>
    <w:rsid w:val="00D92712"/>
    <w:rsid w:val="00DC1FA3"/>
    <w:rsid w:val="00DE538B"/>
    <w:rsid w:val="00E50FCD"/>
    <w:rsid w:val="00E56081"/>
    <w:rsid w:val="00E61258"/>
    <w:rsid w:val="00E95A88"/>
    <w:rsid w:val="00F07EFA"/>
    <w:rsid w:val="00F268BE"/>
    <w:rsid w:val="00F32F4E"/>
    <w:rsid w:val="00F851FA"/>
    <w:rsid w:val="00FD7B5D"/>
    <w:rsid w:val="00FE6189"/>
    <w:rsid w:val="01563952"/>
    <w:rsid w:val="0364576A"/>
    <w:rsid w:val="09D96CC1"/>
    <w:rsid w:val="100569EA"/>
    <w:rsid w:val="15887002"/>
    <w:rsid w:val="16B13150"/>
    <w:rsid w:val="18236D90"/>
    <w:rsid w:val="1A45718C"/>
    <w:rsid w:val="204D4BA1"/>
    <w:rsid w:val="2BA37580"/>
    <w:rsid w:val="2BC9572F"/>
    <w:rsid w:val="31007F2D"/>
    <w:rsid w:val="41644392"/>
    <w:rsid w:val="42D20D0A"/>
    <w:rsid w:val="4A3722D9"/>
    <w:rsid w:val="4E904D1E"/>
    <w:rsid w:val="520E7C2F"/>
    <w:rsid w:val="55FA5BE8"/>
    <w:rsid w:val="674F2A5C"/>
    <w:rsid w:val="6B8E1C10"/>
    <w:rsid w:val="793050EE"/>
    <w:rsid w:val="7C5D5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2">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5">
    <w:name w:val="toc 3"/>
    <w:basedOn w:val="1"/>
    <w:next w:val="1"/>
    <w:qFormat/>
    <w:uiPriority w:val="39"/>
    <w:pPr>
      <w:ind w:left="840" w:leftChars="40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6">
    <w:name w:val="WPSOffice手动目录 1"/>
    <w:qFormat/>
    <w:uiPriority w:val="0"/>
    <w:rPr>
      <w:rFonts w:ascii="Times New Roman" w:hAnsi="Times New Roman" w:eastAsia="宋体" w:cs="Times New Roman"/>
      <w:lang w:val="en" w:eastAsia="zh-CN" w:bidi="ar-SA"/>
    </w:rPr>
  </w:style>
  <w:style w:type="character" w:customStyle="1" w:styleId="17">
    <w:name w:val="批注框文本 字符"/>
    <w:basedOn w:val="12"/>
    <w:link w:val="6"/>
    <w:qFormat/>
    <w:uiPriority w:val="0"/>
    <w:rPr>
      <w:rFonts w:asciiTheme="minorHAnsi" w:hAnsiTheme="minorHAnsi" w:eastAsiaTheme="minorEastAsia" w:cstheme="minorBidi"/>
      <w:kern w:val="2"/>
      <w:sz w:val="18"/>
      <w:szCs w:val="18"/>
    </w:rPr>
  </w:style>
  <w:style w:type="paragraph" w:styleId="1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Pages>
  <Words>1885</Words>
  <Characters>10751</Characters>
  <Lines>89</Lines>
  <Paragraphs>25</Paragraphs>
  <TotalTime>546</TotalTime>
  <ScaleCrop>false</ScaleCrop>
  <LinksUpToDate>false</LinksUpToDate>
  <CharactersWithSpaces>12611</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2023-10-11T09:55:00Z</dcterms:created>
  <dc:creator>黄添财</dc:creator>
  <cp:lastModifiedBy>6028603</cp:lastModifiedBy>
  <dcterms:modified xsi:type="dcterms:W3CDTF">2023-10-13T07:52:49Z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