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44"/>
          <w:szCs w:val="52"/>
          <w:lang w:val="en-US" w:eastAsia="zh-CN"/>
        </w:rPr>
      </w:pPr>
      <w:r>
        <w:rPr>
          <w:rFonts w:hint="eastAsia" w:ascii="仿宋" w:hAnsi="仿宋" w:eastAsia="仿宋" w:cs="仿宋"/>
          <w:b/>
          <w:bCs/>
          <w:sz w:val="44"/>
          <w:szCs w:val="52"/>
          <w:lang w:val="en-US" w:eastAsia="zh-CN"/>
        </w:rPr>
        <w:t>江西赣锋锂业集团股份有限公司</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44"/>
          <w:szCs w:val="52"/>
          <w:lang w:val="en-US" w:eastAsia="zh-CN"/>
        </w:rPr>
      </w:pPr>
      <w:r>
        <w:rPr>
          <w:rFonts w:hint="eastAsia" w:ascii="仿宋" w:hAnsi="仿宋" w:eastAsia="仿宋" w:cs="仿宋"/>
          <w:b/>
          <w:bCs/>
          <w:sz w:val="44"/>
          <w:szCs w:val="52"/>
          <w:lang w:val="en-US" w:eastAsia="zh-CN"/>
        </w:rPr>
        <w:t>生物多样性保护政策声明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60" w:afterAutospacing="0" w:line="400" w:lineRule="exact"/>
        <w:ind w:left="0" w:right="0" w:firstLine="560" w:firstLineChars="200"/>
        <w:jc w:val="left"/>
        <w:textAlignment w:val="baseline"/>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江西赣锋锂业集团股份有限公司(以下简称“赣锋锂业”)坚持“利用有限的锂资源，为人类发展和进步创造绿色、清洁、健康的生活”的神圣使命，注重生态环境保护，关注人与自然和谐发展。赣锋锂业在项目运营时严格考虑对周边生态环境的影响，在矿山开采、冶炼加工、电池制造与回收等业务环节遵循“预防优先、最小化损害、主动修复”原则，做到生产运营对生态环境的不利影响降低至最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left="0" w:right="0" w:firstLine="0" w:firstLineChars="0"/>
        <w:jc w:val="left"/>
        <w:textAlignment w:val="baseline"/>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一.声明的目的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left="0" w:right="0" w:firstLine="560" w:firstLineChars="200"/>
        <w:jc w:val="left"/>
        <w:textAlignment w:val="baseline"/>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作为一家致力于可持续发展的锂化工企业，赣锋锂业深知生物多样性对于地球生态平衡的重要性。基于此，赣锋锂业将持续加强生物多样性管理,提升生物多样性管理的透明度和规范性,为保护地球生态环境贡献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left="0" w:right="0" w:firstLine="0" w:firstLineChars="0"/>
        <w:jc w:val="left"/>
        <w:textAlignment w:val="baseline"/>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二.适用范围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left="0" w:right="0" w:firstLine="560" w:firstLineChars="200"/>
        <w:jc w:val="left"/>
        <w:textAlignment w:val="baseline"/>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本声明适用于江西赣锋锂业集团股份有限公司及各子公司。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leftChars="0" w:right="0" w:rightChars="0"/>
        <w:jc w:val="left"/>
        <w:textAlignment w:val="baseline"/>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三.承诺核心与行动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right="0"/>
        <w:jc w:val="left"/>
        <w:textAlignment w:val="baseline"/>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 xml:space="preserve">3.1 </w:t>
      </w:r>
      <w:r>
        <w:rPr>
          <w:rFonts w:hint="default" w:ascii="仿宋" w:hAnsi="仿宋" w:eastAsia="仿宋" w:cs="仿宋"/>
          <w:sz w:val="28"/>
          <w:szCs w:val="36"/>
          <w:lang w:val="en-US" w:eastAsia="zh-CN"/>
        </w:rPr>
        <w:t>将严格遵守</w:t>
      </w:r>
      <w:r>
        <w:rPr>
          <w:rFonts w:hint="eastAsia" w:ascii="仿宋" w:hAnsi="仿宋" w:eastAsia="仿宋" w:cs="仿宋"/>
          <w:sz w:val="28"/>
          <w:szCs w:val="36"/>
          <w:lang w:val="en-US" w:eastAsia="zh-CN"/>
        </w:rPr>
        <w:t>项目所在</w:t>
      </w:r>
      <w:r>
        <w:rPr>
          <w:rFonts w:hint="default" w:ascii="仿宋" w:hAnsi="仿宋" w:eastAsia="仿宋" w:cs="仿宋"/>
          <w:sz w:val="28"/>
          <w:szCs w:val="36"/>
          <w:lang w:val="en-US" w:eastAsia="zh-CN"/>
        </w:rPr>
        <w:t>国家和地区的生物多样性保护法律法规，以避免或减少生产运营活动对生物多样性造成负面影响。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right="0"/>
        <w:jc w:val="left"/>
        <w:textAlignment w:val="baseline"/>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3.2 将节约并高效使用电、天然气等能源及其它天然资源，优先采用对环境影响小的生产工艺和原料。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right="0"/>
        <w:jc w:val="left"/>
        <w:textAlignment w:val="baseline"/>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3.3 将持续加强水资源管理，调整工艺用水结构、改善耗水设备与生产流程，从源头上减少水资源的使用，同时增加废水处理回用设施，提高水资源利用率；降低对矿区及其周边水资源的负面影响，确保水资源的可持续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right="0"/>
        <w:jc w:val="left"/>
        <w:textAlignment w:val="baseline"/>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3.4 将鼓励所有运营项目进行技术创新、工艺改进，引进先进、高效的生产工艺及防治措施，从而减少废水、废气、温室气体的排放和固体废弃物的产生，实现源头减量、中间控制、末端治理。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right="0"/>
        <w:jc w:val="left"/>
        <w:textAlignment w:val="baseline"/>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3.5 将集约利用土地，尽可能减少土地扰动。积极治理矿山地质灾害及水土流失，将土地复垦与生态恢复嵌入采矿全周期。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right="0"/>
        <w:jc w:val="left"/>
        <w:textAlignment w:val="baseline"/>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3.6 将持续提升内部管理水平，并逐步探索与相关方共同开展生物多样性保护行动的方式和模式，调动更多力量参与到相关行动中。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right="0"/>
        <w:jc w:val="left"/>
        <w:textAlignment w:val="baseline"/>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3.7 将鼓励供应商、承包商及合作伙伴等相关方在其运营中采用保护生物多样性的准则或政策。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leftChars="0" w:right="0" w:rightChars="0"/>
        <w:jc w:val="left"/>
        <w:textAlignment w:val="baseline"/>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三.进展与披露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400" w:lineRule="exact"/>
        <w:ind w:right="0" w:firstLine="560" w:firstLineChars="200"/>
        <w:jc w:val="left"/>
        <w:textAlignment w:val="baseline"/>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赣锋锂业相关生物多样性工作与进展，将在年度可持续发展报告中进行披露。</w:t>
      </w:r>
    </w:p>
    <w:p>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赣锋锂业</w:t>
      </w:r>
      <w:r>
        <w:rPr>
          <w:rFonts w:hint="default" w:ascii="仿宋" w:hAnsi="仿宋" w:eastAsia="仿宋" w:cs="仿宋"/>
          <w:kern w:val="2"/>
          <w:sz w:val="28"/>
          <w:szCs w:val="36"/>
          <w:lang w:val="en-US" w:eastAsia="zh-CN" w:bidi="ar-SA"/>
        </w:rPr>
        <w:t>坚信，锂资源的可持续开发与生物多样性保护并非对立，而是绿色未来的共同基石。</w:t>
      </w:r>
      <w:r>
        <w:rPr>
          <w:rFonts w:hint="eastAsia" w:ascii="仿宋" w:hAnsi="仿宋" w:eastAsia="仿宋" w:cs="仿宋"/>
          <w:kern w:val="2"/>
          <w:sz w:val="28"/>
          <w:szCs w:val="36"/>
          <w:lang w:val="en-US" w:eastAsia="zh-CN" w:bidi="ar-SA"/>
        </w:rPr>
        <w:t>我们</w:t>
      </w:r>
      <w:r>
        <w:rPr>
          <w:rFonts w:hint="default" w:ascii="仿宋" w:hAnsi="仿宋" w:eastAsia="仿宋" w:cs="仿宋"/>
          <w:kern w:val="2"/>
          <w:sz w:val="28"/>
          <w:szCs w:val="36"/>
          <w:lang w:val="en-US" w:eastAsia="zh-CN" w:bidi="ar-SA"/>
        </w:rPr>
        <w:t>将不断探索技术创新、深化多方合作，致力于成为“从矿山到电池”全链条的生态守护者，为全球能源转型与自然共生提供示范。</w:t>
      </w:r>
    </w:p>
    <w:p>
      <w:pPr>
        <w:pStyle w:val="3"/>
        <w:keepNext w:val="0"/>
        <w:keepLines w:val="0"/>
        <w:pageBreakBefore w:val="0"/>
        <w:widowControl/>
        <w:suppressLineNumbers w:val="0"/>
        <w:kinsoku/>
        <w:wordWrap/>
        <w:overflowPunct/>
        <w:topLinePunct w:val="0"/>
        <w:autoSpaceDE/>
        <w:autoSpaceDN/>
        <w:bidi w:val="0"/>
        <w:adjustRightInd/>
        <w:snapToGrid/>
        <w:spacing w:line="400" w:lineRule="exact"/>
        <w:ind w:left="0" w:firstLine="0"/>
        <w:jc w:val="right"/>
        <w:textAlignment w:val="auto"/>
        <w:rPr>
          <w:rFonts w:hint="default"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——以责任采矿守护</w:t>
      </w:r>
      <w:bookmarkStart w:id="0" w:name="_GoBack"/>
      <w:bookmarkEnd w:id="0"/>
      <w:r>
        <w:rPr>
          <w:rFonts w:hint="default" w:ascii="仿宋" w:hAnsi="仿宋" w:eastAsia="仿宋" w:cs="仿宋"/>
          <w:kern w:val="2"/>
          <w:sz w:val="28"/>
          <w:szCs w:val="36"/>
          <w:lang w:val="en-US" w:eastAsia="zh-CN" w:bidi="ar-SA"/>
        </w:rPr>
        <w:t>生命，以绿色锂电赋能未来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60" w:afterAutospacing="0" w:line="400" w:lineRule="exact"/>
        <w:ind w:left="0" w:right="0" w:firstLine="560" w:firstLineChars="200"/>
        <w:jc w:val="right"/>
        <w:textAlignment w:val="baseline"/>
        <w:rPr>
          <w:rFonts w:hint="default"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江西赣锋锂业集团股份有限公司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60" w:afterAutospacing="0" w:line="400" w:lineRule="exact"/>
        <w:ind w:left="0" w:right="0" w:firstLine="560" w:firstLineChars="200"/>
        <w:jc w:val="right"/>
        <w:textAlignment w:val="baseline"/>
        <w:rPr>
          <w:rFonts w:hint="default" w:ascii="仿宋" w:hAnsi="仿宋" w:eastAsia="仿宋" w:cs="仿宋"/>
          <w:sz w:val="28"/>
          <w:szCs w:val="36"/>
          <w:lang w:val="en-US" w:eastAsia="zh-CN"/>
        </w:rPr>
      </w:pPr>
      <w:r>
        <w:rPr>
          <w:rFonts w:hint="eastAsia" w:ascii="仿宋" w:hAnsi="仿宋" w:eastAsia="仿宋" w:cs="仿宋"/>
          <w:kern w:val="2"/>
          <w:sz w:val="28"/>
          <w:szCs w:val="36"/>
          <w:lang w:val="en-US" w:eastAsia="zh-CN" w:bidi="ar-SA"/>
        </w:rPr>
        <w:t>2025年2月27日</w:t>
      </w:r>
    </w:p>
    <w:p>
      <w:pPr>
        <w:pStyle w:val="3"/>
        <w:keepNext w:val="0"/>
        <w:keepLines w:val="0"/>
        <w:widowControl/>
        <w:suppressLineNumbers w:val="0"/>
        <w:ind w:left="0" w:firstLine="0"/>
        <w:jc w:val="right"/>
        <w:rPr>
          <w:rFonts w:hint="default" w:ascii="仿宋" w:hAnsi="仿宋" w:eastAsia="仿宋" w:cs="仿宋"/>
          <w:kern w:val="2"/>
          <w:sz w:val="28"/>
          <w:szCs w:val="36"/>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23545"/>
    <w:rsid w:val="0C8347E5"/>
    <w:rsid w:val="19C5694A"/>
    <w:rsid w:val="3EC4176C"/>
    <w:rsid w:val="46E37EBD"/>
    <w:rsid w:val="4D483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2025-02-18T07:33:00Z</dcterms:created>
  <dc:creator>6035105</dc:creator>
  <cp:lastModifiedBy>6035105</cp:lastModifiedBy>
  <dcterms:modified xsi:type="dcterms:W3CDTF">2025-02-27T05:34:39Z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